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4890" w:rsidRDefault="00384890">
      <w:pPr>
        <w:jc w:val="center"/>
        <w:rPr>
          <w:rFonts w:asciiTheme="minorEastAsia" w:hAnsiTheme="minorEastAsia" w:cstheme="minorEastAsia" w:hint="eastAsia"/>
          <w:sz w:val="44"/>
          <w:szCs w:val="44"/>
        </w:rPr>
      </w:pPr>
    </w:p>
    <w:p w:rsidR="00384890" w:rsidRDefault="00384890">
      <w:pPr>
        <w:rPr>
          <w:rFonts w:asciiTheme="minorEastAsia" w:hAnsiTheme="minorEastAsia" w:cstheme="minorEastAsia"/>
          <w:sz w:val="44"/>
          <w:szCs w:val="44"/>
        </w:rPr>
      </w:pPr>
    </w:p>
    <w:p w:rsidR="00DF0B6F" w:rsidRDefault="00DF0B6F">
      <w:pPr>
        <w:ind w:firstLineChars="200" w:firstLine="880"/>
        <w:rPr>
          <w:rFonts w:asciiTheme="minorEastAsia" w:hAnsiTheme="minorEastAsia" w:cstheme="minorEastAsia"/>
          <w:sz w:val="44"/>
          <w:szCs w:val="44"/>
        </w:rPr>
      </w:pPr>
      <w:r w:rsidRPr="00DF0B6F">
        <w:rPr>
          <w:rFonts w:asciiTheme="minorEastAsia" w:hAnsiTheme="minorEastAsia" w:cstheme="minorEastAsia" w:hint="eastAsia"/>
          <w:sz w:val="44"/>
          <w:szCs w:val="44"/>
        </w:rPr>
        <w:t>汽车数据安全管理若干规定（试行）</w:t>
      </w:r>
    </w:p>
    <w:p w:rsidR="00384890" w:rsidRDefault="00680F38">
      <w:pPr>
        <w:ind w:firstLineChars="200" w:firstLine="640"/>
        <w:rPr>
          <w:rFonts w:ascii="楷体_GB2312" w:eastAsia="楷体_GB2312" w:hAnsi="楷体_GB2312" w:cs="楷体_GB2312"/>
          <w:color w:val="333333"/>
          <w:sz w:val="32"/>
          <w:szCs w:val="32"/>
          <w:shd w:val="clear" w:color="auto" w:fill="FFFFFF"/>
        </w:rPr>
      </w:pPr>
      <w:bookmarkStart w:id="0" w:name="_GoBack"/>
      <w:bookmarkEnd w:id="0"/>
      <w:r>
        <w:rPr>
          <w:rFonts w:ascii="楷体_GB2312" w:eastAsia="楷体_GB2312" w:hAnsi="楷体_GB2312" w:cs="楷体_GB2312" w:hint="eastAsia"/>
          <w:color w:val="333333"/>
          <w:sz w:val="32"/>
          <w:szCs w:val="32"/>
          <w:shd w:val="clear" w:color="auto" w:fill="FFFFFF"/>
        </w:rPr>
        <w:t>(</w:t>
      </w:r>
      <w:r w:rsidR="00DF0B6F" w:rsidRPr="00DF0B6F">
        <w:rPr>
          <w:rFonts w:ascii="楷体_GB2312" w:eastAsia="楷体_GB2312" w:hAnsi="楷体_GB2312" w:cs="楷体_GB2312" w:hint="eastAsia"/>
          <w:color w:val="333333"/>
          <w:sz w:val="32"/>
          <w:szCs w:val="32"/>
          <w:shd w:val="clear" w:color="auto" w:fill="FFFFFF"/>
        </w:rPr>
        <w:t>国家互联网信息办公室</w:t>
      </w:r>
      <w:r w:rsidR="00DF0B6F" w:rsidRPr="00DF0B6F">
        <w:rPr>
          <w:rFonts w:ascii="楷体_GB2312" w:eastAsia="楷体_GB2312" w:hAnsi="楷体_GB2312" w:cs="楷体_GB2312"/>
          <w:color w:val="333333"/>
          <w:sz w:val="32"/>
          <w:szCs w:val="32"/>
          <w:shd w:val="clear" w:color="auto" w:fill="FFFFFF"/>
        </w:rPr>
        <w:t xml:space="preserve">  </w:t>
      </w:r>
      <w:r w:rsidR="00DF0B6F" w:rsidRPr="00DF0B6F">
        <w:rPr>
          <w:rFonts w:ascii="楷体_GB2312" w:eastAsia="楷体_GB2312" w:hAnsi="楷体_GB2312" w:cs="楷体_GB2312" w:hint="eastAsia"/>
          <w:color w:val="333333"/>
          <w:sz w:val="32"/>
          <w:szCs w:val="32"/>
          <w:shd w:val="clear" w:color="auto" w:fill="FFFFFF"/>
        </w:rPr>
        <w:t>中华人民共和国国家发展和改革委员会</w:t>
      </w:r>
      <w:r w:rsidR="00DF0B6F" w:rsidRPr="00DF0B6F">
        <w:rPr>
          <w:rFonts w:ascii="楷体_GB2312" w:eastAsia="楷体_GB2312" w:hAnsi="楷体_GB2312" w:cs="楷体_GB2312"/>
          <w:color w:val="333333"/>
          <w:sz w:val="32"/>
          <w:szCs w:val="32"/>
          <w:shd w:val="clear" w:color="auto" w:fill="FFFFFF"/>
        </w:rPr>
        <w:t xml:space="preserve">  </w:t>
      </w:r>
      <w:r w:rsidR="00DF0B6F" w:rsidRPr="00DF0B6F">
        <w:rPr>
          <w:rFonts w:ascii="楷体_GB2312" w:eastAsia="楷体_GB2312" w:hAnsi="楷体_GB2312" w:cs="楷体_GB2312" w:hint="eastAsia"/>
          <w:color w:val="333333"/>
          <w:sz w:val="32"/>
          <w:szCs w:val="32"/>
          <w:shd w:val="clear" w:color="auto" w:fill="FFFFFF"/>
        </w:rPr>
        <w:t>中华人民共和国工业和信息化部</w:t>
      </w:r>
      <w:r w:rsidR="00DF0B6F" w:rsidRPr="00DF0B6F">
        <w:rPr>
          <w:rFonts w:ascii="楷体_GB2312" w:eastAsia="楷体_GB2312" w:hAnsi="楷体_GB2312" w:cs="楷体_GB2312"/>
          <w:color w:val="333333"/>
          <w:sz w:val="32"/>
          <w:szCs w:val="32"/>
          <w:shd w:val="clear" w:color="auto" w:fill="FFFFFF"/>
        </w:rPr>
        <w:t xml:space="preserve">  </w:t>
      </w:r>
      <w:r w:rsidR="00DF0B6F" w:rsidRPr="00DF0B6F">
        <w:rPr>
          <w:rFonts w:ascii="楷体_GB2312" w:eastAsia="楷体_GB2312" w:hAnsi="楷体_GB2312" w:cs="楷体_GB2312" w:hint="eastAsia"/>
          <w:color w:val="333333"/>
          <w:sz w:val="32"/>
          <w:szCs w:val="32"/>
          <w:shd w:val="clear" w:color="auto" w:fill="FFFFFF"/>
        </w:rPr>
        <w:t>中华人民共和国公安部</w:t>
      </w:r>
      <w:r w:rsidR="00DF0B6F" w:rsidRPr="00DF0B6F">
        <w:rPr>
          <w:rFonts w:ascii="楷体_GB2312" w:eastAsia="楷体_GB2312" w:hAnsi="楷体_GB2312" w:cs="楷体_GB2312"/>
          <w:color w:val="333333"/>
          <w:sz w:val="32"/>
          <w:szCs w:val="32"/>
          <w:shd w:val="clear" w:color="auto" w:fill="FFFFFF"/>
        </w:rPr>
        <w:t xml:space="preserve">  </w:t>
      </w:r>
      <w:r w:rsidR="00DF0B6F" w:rsidRPr="00DF0B6F">
        <w:rPr>
          <w:rFonts w:ascii="楷体_GB2312" w:eastAsia="楷体_GB2312" w:hAnsi="楷体_GB2312" w:cs="楷体_GB2312" w:hint="eastAsia"/>
          <w:color w:val="333333"/>
          <w:sz w:val="32"/>
          <w:szCs w:val="32"/>
          <w:shd w:val="clear" w:color="auto" w:fill="FFFFFF"/>
        </w:rPr>
        <w:t>中华人民共和国交通运输部令第</w:t>
      </w:r>
      <w:r w:rsidR="00DF0B6F" w:rsidRPr="00DF0B6F">
        <w:rPr>
          <w:rFonts w:ascii="楷体_GB2312" w:eastAsia="楷体_GB2312" w:hAnsi="楷体_GB2312" w:cs="楷体_GB2312"/>
          <w:color w:val="333333"/>
          <w:sz w:val="32"/>
          <w:szCs w:val="32"/>
          <w:shd w:val="clear" w:color="auto" w:fill="FFFFFF"/>
        </w:rPr>
        <w:t>7</w:t>
      </w:r>
      <w:r w:rsidR="00DF0B6F" w:rsidRPr="00DF0B6F">
        <w:rPr>
          <w:rFonts w:ascii="楷体_GB2312" w:eastAsia="楷体_GB2312" w:hAnsi="楷体_GB2312" w:cs="楷体_GB2312" w:hint="eastAsia"/>
          <w:color w:val="333333"/>
          <w:sz w:val="32"/>
          <w:szCs w:val="32"/>
          <w:shd w:val="clear" w:color="auto" w:fill="FFFFFF"/>
        </w:rPr>
        <w:t>号公布，自</w:t>
      </w:r>
      <w:r w:rsidR="00DF0B6F" w:rsidRPr="00DF0B6F">
        <w:rPr>
          <w:rFonts w:ascii="楷体_GB2312" w:eastAsia="楷体_GB2312" w:hAnsi="楷体_GB2312" w:cs="楷体_GB2312"/>
          <w:color w:val="333333"/>
          <w:sz w:val="32"/>
          <w:szCs w:val="32"/>
          <w:shd w:val="clear" w:color="auto" w:fill="FFFFFF"/>
        </w:rPr>
        <w:t>2021</w:t>
      </w:r>
      <w:r w:rsidR="00DF0B6F" w:rsidRPr="00DF0B6F">
        <w:rPr>
          <w:rFonts w:ascii="楷体_GB2312" w:eastAsia="楷体_GB2312" w:hAnsi="楷体_GB2312" w:cs="楷体_GB2312" w:hint="eastAsia"/>
          <w:color w:val="333333"/>
          <w:sz w:val="32"/>
          <w:szCs w:val="32"/>
          <w:shd w:val="clear" w:color="auto" w:fill="FFFFFF"/>
        </w:rPr>
        <w:t>年</w:t>
      </w:r>
      <w:r w:rsidR="00DF0B6F" w:rsidRPr="00DF0B6F">
        <w:rPr>
          <w:rFonts w:ascii="楷体_GB2312" w:eastAsia="楷体_GB2312" w:hAnsi="楷体_GB2312" w:cs="楷体_GB2312"/>
          <w:color w:val="333333"/>
          <w:sz w:val="32"/>
          <w:szCs w:val="32"/>
          <w:shd w:val="clear" w:color="auto" w:fill="FFFFFF"/>
        </w:rPr>
        <w:t>10</w:t>
      </w:r>
      <w:r w:rsidR="00DF0B6F" w:rsidRPr="00DF0B6F">
        <w:rPr>
          <w:rFonts w:ascii="楷体_GB2312" w:eastAsia="楷体_GB2312" w:hAnsi="楷体_GB2312" w:cs="楷体_GB2312" w:hint="eastAsia"/>
          <w:color w:val="333333"/>
          <w:sz w:val="32"/>
          <w:szCs w:val="32"/>
          <w:shd w:val="clear" w:color="auto" w:fill="FFFFFF"/>
        </w:rPr>
        <w:t>月</w:t>
      </w:r>
      <w:r w:rsidR="00DF0B6F" w:rsidRPr="00DF0B6F">
        <w:rPr>
          <w:rFonts w:ascii="楷体_GB2312" w:eastAsia="楷体_GB2312" w:hAnsi="楷体_GB2312" w:cs="楷体_GB2312"/>
          <w:color w:val="333333"/>
          <w:sz w:val="32"/>
          <w:szCs w:val="32"/>
          <w:shd w:val="clear" w:color="auto" w:fill="FFFFFF"/>
        </w:rPr>
        <w:t>1</w:t>
      </w:r>
      <w:r w:rsidR="00DF0B6F" w:rsidRPr="00DF0B6F">
        <w:rPr>
          <w:rFonts w:ascii="楷体_GB2312" w:eastAsia="楷体_GB2312" w:hAnsi="楷体_GB2312" w:cs="楷体_GB2312" w:hint="eastAsia"/>
          <w:color w:val="333333"/>
          <w:sz w:val="32"/>
          <w:szCs w:val="32"/>
          <w:shd w:val="clear" w:color="auto" w:fill="FFFFFF"/>
        </w:rPr>
        <w:t>日起施行。</w:t>
      </w:r>
      <w:r>
        <w:rPr>
          <w:rFonts w:ascii="楷体_GB2312" w:eastAsia="楷体_GB2312" w:hAnsi="楷体_GB2312" w:cs="楷体_GB2312" w:hint="eastAsia"/>
          <w:color w:val="333333"/>
          <w:sz w:val="32"/>
          <w:szCs w:val="32"/>
          <w:shd w:val="clear" w:color="auto" w:fill="FFFFFF"/>
        </w:rPr>
        <w:t>)</w:t>
      </w:r>
    </w:p>
    <w:p w:rsidR="00DF0B6F" w:rsidRDefault="00DF0B6F" w:rsidP="00DF0B6F">
      <w:pPr>
        <w:pStyle w:val="aa"/>
        <w:spacing w:before="0" w:beforeAutospacing="0" w:after="0" w:afterAutospacing="0"/>
        <w:ind w:firstLineChars="200" w:firstLine="640"/>
        <w:jc w:val="both"/>
        <w:rPr>
          <w:rFonts w:ascii="黑体" w:eastAsia="黑体" w:hAnsi="黑体" w:cs="Arial"/>
          <w:color w:val="000000"/>
          <w:sz w:val="32"/>
          <w:szCs w:val="32"/>
        </w:rPr>
      </w:pP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黑体" w:eastAsia="黑体" w:hAnsi="黑体" w:cs="Arial" w:hint="eastAsia"/>
          <w:color w:val="000000"/>
          <w:sz w:val="32"/>
          <w:szCs w:val="32"/>
        </w:rPr>
        <w:t>第一条</w:t>
      </w:r>
      <w:r>
        <w:rPr>
          <w:rFonts w:ascii="仿宋" w:eastAsia="仿宋" w:hAnsi="仿宋" w:cs="Arial" w:hint="eastAsia"/>
          <w:color w:val="000000"/>
          <w:sz w:val="32"/>
          <w:szCs w:val="32"/>
        </w:rPr>
        <w:t>为了规范汽车数据处理活动，保护个人、组织的合法权益，维护国家安全和社会公共利益，促进汽车数据合理开发利用，根据《中华人民共和国网络安全法》、《中华人民共和国数据安全法》等法律、行政法规，制定本规定。</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黑体" w:eastAsia="黑体" w:hAnsi="黑体" w:cs="Arial" w:hint="eastAsia"/>
          <w:color w:val="000000"/>
          <w:sz w:val="32"/>
          <w:szCs w:val="32"/>
        </w:rPr>
        <w:t>第二条</w:t>
      </w:r>
      <w:r>
        <w:rPr>
          <w:rFonts w:ascii="仿宋" w:eastAsia="仿宋" w:hAnsi="仿宋" w:cs="Arial" w:hint="eastAsia"/>
          <w:color w:val="000000"/>
          <w:sz w:val="32"/>
          <w:szCs w:val="32"/>
        </w:rPr>
        <w:t>在中华人民共和国境内开展汽车数据处理活动及其安全监管，应当遵守相关法律、行政法规和本规定的要求。</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黑体" w:eastAsia="黑体" w:hAnsi="黑体" w:cs="Arial" w:hint="eastAsia"/>
          <w:color w:val="000000"/>
          <w:sz w:val="32"/>
          <w:szCs w:val="32"/>
        </w:rPr>
        <w:t>第三条</w:t>
      </w:r>
      <w:r>
        <w:rPr>
          <w:rFonts w:ascii="仿宋" w:eastAsia="仿宋" w:hAnsi="仿宋" w:cs="Arial" w:hint="eastAsia"/>
          <w:color w:val="000000"/>
          <w:sz w:val="32"/>
          <w:szCs w:val="32"/>
        </w:rPr>
        <w:t>本规定所称汽车数据，包括汽车设计、生产、销售、使用、运维等过程中的涉及个人信息数据和重要数据。</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汽车数据处理，包括汽车数据的收集、存储、使用、加工、传输、提供、公开等。</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lastRenderedPageBreak/>
        <w:t>汽车数据处理者，是指开展汽车数据处理活动的组织，包括汽车制造商、零部件和软件供应商、经销商、维修机构以及出行服务企业等。</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个人信息，是指以电子或者其他方式记录的与已识别或者可识别的车主、驾驶人、乘车人、车外人员等有关的各种信息，不包括匿名化处理后的信息。</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敏感个人信息，是指一旦泄露或者非法使用，可能导致车主、驾驶人、乘车人、车外人员等受到歧视或者人身、财产安全受到严重危害的个人信息，包括车辆行踪轨迹、音频、视频、图像和生物识别特征等信息。</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重要数据是指一旦遭到篡改、破坏、泄露或者非法获取、非法利用，可能危害国家安全、公共利益或者个人、组织合法权益的数据，包括：</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（一）军事管理区、国防科工单位以及县级以上党政机关等重要敏感区域的地理信息、人员流量、车辆流量等数据；</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（二）车辆流量、物流等反映经济运行情况的数据；</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（三）汽车充电网的运行数据；</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（四）包含人脸信息、车牌信息等的车外视频、图像数据；</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（五）涉及个人信息主体超过10万人的个人信息；</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lastRenderedPageBreak/>
        <w:t>（六）国家网信部门和国务院发展改革、工业和信息化、公安、交通运输等有关部门确定的其他可能危害国家安全、公共利益或者个人、组织合法权益的数据。</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黑体" w:eastAsia="黑体" w:hAnsi="黑体" w:cs="Arial" w:hint="eastAsia"/>
          <w:color w:val="000000"/>
          <w:sz w:val="32"/>
          <w:szCs w:val="32"/>
        </w:rPr>
        <w:t>第四条</w:t>
      </w:r>
      <w:r>
        <w:rPr>
          <w:rFonts w:ascii="仿宋" w:eastAsia="仿宋" w:hAnsi="仿宋" w:cs="Arial" w:hint="eastAsia"/>
          <w:color w:val="000000"/>
          <w:sz w:val="32"/>
          <w:szCs w:val="32"/>
        </w:rPr>
        <w:t>汽车数据处理者处理汽车数据应当合法、正当、具体、明确，与汽车的设计、生产、销售、使用、运维等直接相关。</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黑体" w:eastAsia="黑体" w:hAnsi="黑体" w:cs="Arial" w:hint="eastAsia"/>
          <w:color w:val="000000"/>
          <w:sz w:val="32"/>
          <w:szCs w:val="32"/>
        </w:rPr>
        <w:t>第五条</w:t>
      </w:r>
      <w:r>
        <w:rPr>
          <w:rFonts w:ascii="仿宋" w:eastAsia="仿宋" w:hAnsi="仿宋" w:cs="Arial" w:hint="eastAsia"/>
          <w:color w:val="000000"/>
          <w:sz w:val="32"/>
          <w:szCs w:val="32"/>
        </w:rPr>
        <w:t>利用互联网等信息网络开展汽车数据处理活动，应当落实网络安全等级保护等制度，加强汽车数据保护，依法履行数据安全义务。</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黑体" w:eastAsia="黑体" w:hAnsi="黑体" w:cs="Arial" w:hint="eastAsia"/>
          <w:color w:val="000000"/>
          <w:sz w:val="32"/>
          <w:szCs w:val="32"/>
        </w:rPr>
        <w:t>第六条</w:t>
      </w:r>
      <w:r>
        <w:rPr>
          <w:rFonts w:ascii="仿宋" w:eastAsia="仿宋" w:hAnsi="仿宋" w:cs="Arial" w:hint="eastAsia"/>
          <w:color w:val="000000"/>
          <w:sz w:val="32"/>
          <w:szCs w:val="32"/>
        </w:rPr>
        <w:t>国家鼓励汽车数据依法合理有效利用，倡导汽车数据处理者在开展汽车数据处理活动中坚持：</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（一）车内处理原则，除非确有必要不向车外提供；</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（二）默认不收集原则，除非驾驶人自主设定，每次驾驶时默认设定为不收集状态；</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（三）精度范围适用原则，根据所提供功能服务对数据精度的要求确定摄像头、雷达等的覆盖范围、分辨率；</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（四）脱敏处理原则，尽可能进行匿名化、去标识化等处理。</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黑体" w:eastAsia="黑体" w:hAnsi="黑体" w:cs="Arial" w:hint="eastAsia"/>
          <w:color w:val="000000"/>
          <w:sz w:val="32"/>
          <w:szCs w:val="32"/>
        </w:rPr>
        <w:t>第七条</w:t>
      </w:r>
      <w:r>
        <w:rPr>
          <w:rFonts w:ascii="仿宋" w:eastAsia="仿宋" w:hAnsi="仿宋" w:cs="Arial" w:hint="eastAsia"/>
          <w:color w:val="000000"/>
          <w:sz w:val="32"/>
          <w:szCs w:val="32"/>
        </w:rPr>
        <w:t>汽车数据处理者处理个人信息应当通过用户手册、车载显示面板、语音、汽车使用相关应用程序等显著方式，告知个人以下事项：</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lastRenderedPageBreak/>
        <w:t>（一）处理个人信息的种类，包括车辆行踪轨迹、驾驶习惯、音频、视频、图像和生物识别特征等；</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（二）收集各类个人信息的具体情境以及停止收集的方式和途径；</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（三）处理各类个人信息的目的、用途、方式；</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（四）个人信息保存地点、保存期限，或者确定保存地点、保存期限的规则；</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（五）查阅、复制其个人信息以及删除车内、请求删除已经提供给车外的个人信息的方式和途径；</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（六）用户权益事务联系人的姓名和联系方式；</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（七）法律、行政法规规定的应当告知的其他事项。</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黑体" w:eastAsia="黑体" w:hAnsi="黑体" w:cs="Arial" w:hint="eastAsia"/>
          <w:color w:val="000000"/>
          <w:sz w:val="32"/>
          <w:szCs w:val="32"/>
        </w:rPr>
        <w:t>第八条</w:t>
      </w:r>
      <w:r>
        <w:rPr>
          <w:rFonts w:ascii="仿宋" w:eastAsia="仿宋" w:hAnsi="仿宋" w:cs="Arial" w:hint="eastAsia"/>
          <w:color w:val="000000"/>
          <w:sz w:val="32"/>
          <w:szCs w:val="32"/>
        </w:rPr>
        <w:t>汽车数据处理者处理个人信息应当取得个人同意或者符合法律、行政法规规定的其他情形。</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因保证行车安全需要，无法征得个人同意采集到车外个人信息且向车外提供的，应当进行匿名化处理，包括删除含有能够识别自然人的画面，或者对画面中的人脸信息等进行局部轮廓化处理等。</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黑体" w:eastAsia="黑体" w:hAnsi="黑体" w:cs="Arial" w:hint="eastAsia"/>
          <w:color w:val="000000"/>
          <w:sz w:val="32"/>
          <w:szCs w:val="32"/>
        </w:rPr>
        <w:t>第九条</w:t>
      </w:r>
      <w:r>
        <w:rPr>
          <w:rFonts w:ascii="仿宋" w:eastAsia="仿宋" w:hAnsi="仿宋" w:cs="Arial" w:hint="eastAsia"/>
          <w:color w:val="000000"/>
          <w:sz w:val="32"/>
          <w:szCs w:val="32"/>
        </w:rPr>
        <w:t>汽车数据处理者处理敏感个人信息，应当符合以下要求或者符合法律、行政法规和强制性国家标准等其他要求：</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lastRenderedPageBreak/>
        <w:t>（一）具有直接服务于个人的目的，包括增强行车安全、智能驾驶、导航等；</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（二）通过用户手册、车载显示面板、语音以及汽车使用相关应用程序等显著方式告知必要性以及对个人的影响；</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（三）应当取得个人单独同意，个人可以自主设定同意期限；</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（四）在保证行车安全的前提下，以适当方式提示收集状态，为个人终止收集提供便利；</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（五）个人要求删除的，汽车数据处理者应当在十个工作日内删除。</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汽车数据处理者具有增强行车安全的目的和充分的必要性，方可收集指纹、声纹、人脸、心律等生物识别特征信息。</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黑体" w:eastAsia="黑体" w:hAnsi="黑体" w:cs="Arial" w:hint="eastAsia"/>
          <w:color w:val="000000"/>
          <w:sz w:val="32"/>
          <w:szCs w:val="32"/>
        </w:rPr>
        <w:t>第十条</w:t>
      </w:r>
      <w:r>
        <w:rPr>
          <w:rFonts w:ascii="仿宋" w:eastAsia="仿宋" w:hAnsi="仿宋" w:cs="Arial" w:hint="eastAsia"/>
          <w:color w:val="000000"/>
          <w:sz w:val="32"/>
          <w:szCs w:val="32"/>
        </w:rPr>
        <w:t>汽车数据处理者开展重要数据处理活动，应当按照规定开展风险评估，并向省、自治区、直辖市网信部门和有关部门报送风险评估报告。</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风险评估报告应当包括处理的重要数据的种类、数量、范围、保存地点与期限、使用方式，开展数据处理活动情况以及是否向第三方提供，面临的数据安全风险及其应对措施等。</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黑体" w:eastAsia="黑体" w:hAnsi="黑体" w:cs="Arial" w:hint="eastAsia"/>
          <w:color w:val="000000"/>
          <w:sz w:val="32"/>
          <w:szCs w:val="32"/>
        </w:rPr>
        <w:t>第十一条</w:t>
      </w:r>
      <w:r>
        <w:rPr>
          <w:rFonts w:ascii="仿宋" w:eastAsia="仿宋" w:hAnsi="仿宋" w:cs="Arial" w:hint="eastAsia"/>
          <w:color w:val="000000"/>
          <w:sz w:val="32"/>
          <w:szCs w:val="32"/>
        </w:rPr>
        <w:t>重要数据应当依法在境内存储，因业务需要确需向境外提供的，应当通过国家网信部门会同国务院有关部门组织的</w:t>
      </w:r>
      <w:r>
        <w:rPr>
          <w:rFonts w:ascii="仿宋" w:eastAsia="仿宋" w:hAnsi="仿宋" w:cs="Arial" w:hint="eastAsia"/>
          <w:color w:val="000000"/>
          <w:sz w:val="32"/>
          <w:szCs w:val="32"/>
        </w:rPr>
        <w:lastRenderedPageBreak/>
        <w:t>安全评估。未列入重要数据的涉及个人信息数据的出境安全管理，适用法律、行政法规的有关规定。</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我国缔结或者参加的国际条约、协定有不同规定的，适用该国际条约、协定，但我国声明保留的条款除外。</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黑体" w:eastAsia="黑体" w:hAnsi="黑体" w:cs="Arial" w:hint="eastAsia"/>
          <w:color w:val="000000"/>
          <w:sz w:val="32"/>
          <w:szCs w:val="32"/>
        </w:rPr>
        <w:t>第十二条</w:t>
      </w:r>
      <w:r>
        <w:rPr>
          <w:rFonts w:ascii="仿宋" w:eastAsia="仿宋" w:hAnsi="仿宋" w:cs="Arial" w:hint="eastAsia"/>
          <w:color w:val="000000"/>
          <w:sz w:val="32"/>
          <w:szCs w:val="32"/>
        </w:rPr>
        <w:t>汽车数据处理者向境外提供重要数据，不得超出出境安全评估时明确的目的、范围、方式和数据种类、规模等。</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国家网信部门会同国务院有关部门以抽查等方式核验前款规定事项，汽车数据处理者应当予以配合，并以可读等便利方式予以展示。</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黑体" w:eastAsia="黑体" w:hAnsi="黑体" w:cs="Arial" w:hint="eastAsia"/>
          <w:color w:val="000000"/>
          <w:sz w:val="32"/>
          <w:szCs w:val="32"/>
        </w:rPr>
        <w:t>第十三条</w:t>
      </w:r>
      <w:r>
        <w:rPr>
          <w:rFonts w:ascii="仿宋" w:eastAsia="仿宋" w:hAnsi="仿宋" w:cs="Arial" w:hint="eastAsia"/>
          <w:color w:val="000000"/>
          <w:sz w:val="32"/>
          <w:szCs w:val="32"/>
        </w:rPr>
        <w:t>汽车数据处理者开展重要数据处理活动，应当在每年十二月十五日前向省、自治区、直辖市网信部门和有关部门报送以下年度汽车数据安全管理情况：</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（一）汽车数据安全管理负责人、用户权益事务联系人的姓名和联系方式；</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（二）处理汽车数据的种类、规模、目的和必要性；</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（三）汽车数据的安全防护和管理措施，包括保存地点、期限等；</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（四）向境内第三方提供汽车数据情况；</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（五）汽车数据安全事件和处置情况；</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lastRenderedPageBreak/>
        <w:t>（六）汽车数据相关的用户投诉和处理情况；</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（七）国家网信部门会同国务院工业和信息化、公安、交通运输等有关部门明确的其他汽车数据安全管理情况。</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黑体" w:eastAsia="黑体" w:hAnsi="黑体" w:cs="Arial" w:hint="eastAsia"/>
          <w:color w:val="000000"/>
          <w:sz w:val="32"/>
          <w:szCs w:val="32"/>
        </w:rPr>
        <w:t>第十四条</w:t>
      </w:r>
      <w:r>
        <w:rPr>
          <w:rFonts w:ascii="仿宋" w:eastAsia="仿宋" w:hAnsi="仿宋" w:cs="Arial" w:hint="eastAsia"/>
          <w:color w:val="000000"/>
          <w:sz w:val="32"/>
          <w:szCs w:val="32"/>
        </w:rPr>
        <w:t>向境外提供重要数据的汽车数据处理者应当在本规定第十三条要求的基础上，补充报告以下情况：</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（一）接收者的基本情况；</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（二）出境汽车数据的种类、规模、目的和必要性；</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（三）汽车数据在境外的保存地点、期限、范围和方式；</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（四）涉及向境外提供汽车数据的用户投诉和处理情况；</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（五）国家网信部门会同国务院工业和信息化、公安、交通运输等有关部门明确的向境外提供汽车数据需要报告的其他情况。</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黑体" w:eastAsia="黑体" w:hAnsi="黑体" w:cs="Arial" w:hint="eastAsia"/>
          <w:color w:val="000000"/>
          <w:sz w:val="32"/>
          <w:szCs w:val="32"/>
        </w:rPr>
        <w:t>第十五条</w:t>
      </w:r>
      <w:r>
        <w:rPr>
          <w:rFonts w:ascii="仿宋" w:eastAsia="仿宋" w:hAnsi="仿宋" w:cs="Arial" w:hint="eastAsia"/>
          <w:color w:val="000000"/>
          <w:sz w:val="32"/>
          <w:szCs w:val="32"/>
        </w:rPr>
        <w:t>国家网信部门和国务院发展改革、工业和信息化、公安、交通运输等有关部门依据职责，根据处理数据情况对汽车数据处理者进行数据安全评估，汽车数据处理者应当予以配合。</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参与安全评估的机构和人员不得披露评估中获悉的汽车数据处理者商业秘密、未公开信息，不得将评估中获悉的信息用于评估以外目的。</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黑体" w:eastAsia="黑体" w:hAnsi="黑体" w:cs="Arial" w:hint="eastAsia"/>
          <w:color w:val="000000"/>
          <w:sz w:val="32"/>
          <w:szCs w:val="32"/>
        </w:rPr>
        <w:lastRenderedPageBreak/>
        <w:t>第十六条</w:t>
      </w:r>
      <w:r>
        <w:rPr>
          <w:rFonts w:ascii="仿宋" w:eastAsia="仿宋" w:hAnsi="仿宋" w:cs="Arial" w:hint="eastAsia"/>
          <w:color w:val="000000"/>
          <w:sz w:val="32"/>
          <w:szCs w:val="32"/>
        </w:rPr>
        <w:t>国家加强智能（网联）汽车网络平台建设，开展智能（网联）汽车入网运行和安全保障服务等，协同汽车数据处理者加强智能（网联）汽车网络和汽车数据安全防护。</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黑体" w:eastAsia="黑体" w:hAnsi="黑体" w:cs="Arial" w:hint="eastAsia"/>
          <w:color w:val="000000"/>
          <w:sz w:val="32"/>
          <w:szCs w:val="32"/>
        </w:rPr>
        <w:t>第十七条</w:t>
      </w:r>
      <w:r>
        <w:rPr>
          <w:rFonts w:ascii="仿宋" w:eastAsia="仿宋" w:hAnsi="仿宋" w:cs="Arial" w:hint="eastAsia"/>
          <w:color w:val="000000"/>
          <w:sz w:val="32"/>
          <w:szCs w:val="32"/>
        </w:rPr>
        <w:t>汽车数据处理者开展汽车数据处理活动，应当建立投诉举报渠道，设置便捷的投诉举报入口，及时处理用户投诉举报。</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仿宋" w:eastAsia="仿宋" w:hAnsi="仿宋" w:cs="Arial" w:hint="eastAsia"/>
          <w:color w:val="000000"/>
          <w:sz w:val="32"/>
          <w:szCs w:val="32"/>
        </w:rPr>
        <w:t>开展汽车数据处理活动造成用户合法权益或者公共利益受到损害的，汽车数据处理者应当依法承担相应责任。</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黑体" w:eastAsia="黑体" w:hAnsi="黑体" w:cs="Arial" w:hint="eastAsia"/>
          <w:color w:val="000000"/>
          <w:sz w:val="32"/>
          <w:szCs w:val="32"/>
        </w:rPr>
        <w:t>第十八条</w:t>
      </w:r>
      <w:r>
        <w:rPr>
          <w:rFonts w:ascii="仿宋" w:eastAsia="仿宋" w:hAnsi="仿宋" w:cs="Arial" w:hint="eastAsia"/>
          <w:color w:val="000000"/>
          <w:sz w:val="32"/>
          <w:szCs w:val="32"/>
        </w:rPr>
        <w:t>汽车数据处理者违反本规定的，由省级以上网信、工业和信息化、公安、交通运输等有关部门依照《中华人民共和国网络安全法》、《中华人民共和国数据安全法》等法律、行政法规的规定进行处罚；构成犯罪的，依法追究刑事责任。</w:t>
      </w:r>
    </w:p>
    <w:p w:rsidR="00DF0B6F" w:rsidRDefault="00DF0B6F" w:rsidP="00DF0B6F">
      <w:pPr>
        <w:pStyle w:val="aa"/>
        <w:spacing w:before="0" w:beforeAutospacing="0" w:after="0" w:afterAutospacing="0"/>
        <w:ind w:firstLineChars="200" w:firstLine="640"/>
        <w:jc w:val="both"/>
        <w:rPr>
          <w:rFonts w:ascii="Arial" w:hAnsi="Arial" w:cs="Arial"/>
          <w:color w:val="000000"/>
        </w:rPr>
      </w:pPr>
      <w:r>
        <w:rPr>
          <w:rFonts w:ascii="黑体" w:eastAsia="黑体" w:hAnsi="黑体" w:cs="Arial" w:hint="eastAsia"/>
          <w:color w:val="000000"/>
          <w:sz w:val="32"/>
          <w:szCs w:val="32"/>
        </w:rPr>
        <w:t>第十九条</w:t>
      </w:r>
      <w:r>
        <w:rPr>
          <w:rFonts w:ascii="仿宋" w:eastAsia="仿宋" w:hAnsi="仿宋" w:cs="Arial" w:hint="eastAsia"/>
          <w:color w:val="000000"/>
          <w:sz w:val="32"/>
          <w:szCs w:val="32"/>
        </w:rPr>
        <w:t>本规定自2021年10月1日起施行。</w:t>
      </w:r>
    </w:p>
    <w:p w:rsidR="00384890" w:rsidRPr="00DF0B6F" w:rsidRDefault="00384890" w:rsidP="00DF0B6F">
      <w:pPr>
        <w:rPr>
          <w:rFonts w:ascii="仿宋_GB2312" w:eastAsia="仿宋_GB2312" w:hAnsi="仿宋_GB2312" w:cs="仿宋_GB2312"/>
          <w:color w:val="333333"/>
          <w:sz w:val="32"/>
          <w:szCs w:val="32"/>
          <w:shd w:val="clear" w:color="auto" w:fill="FFFFFF"/>
        </w:rPr>
      </w:pPr>
    </w:p>
    <w:sectPr w:rsidR="00384890" w:rsidRPr="00DF0B6F">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0F38" w:rsidRDefault="00680F38">
      <w:r>
        <w:separator/>
      </w:r>
    </w:p>
  </w:endnote>
  <w:endnote w:type="continuationSeparator" w:id="0">
    <w:p w:rsidR="00680F38" w:rsidRDefault="00680F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仿宋"/>
    <w:charset w:val="86"/>
    <w:family w:val="auto"/>
    <w:pitch w:val="default"/>
    <w:sig w:usb0="00000000" w:usb1="00000000" w:usb2="0000000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4890" w:rsidRDefault="00680F38">
    <w:pPr>
      <w:pStyle w:val="a9"/>
      <w:ind w:leftChars="2280" w:left="4788" w:firstLineChars="2000" w:firstLine="6400"/>
      <w:rPr>
        <w:sz w:val="32"/>
        <w:szCs w:val="48"/>
      </w:rPr>
    </w:pPr>
    <w:r>
      <w:rPr>
        <w:noProof/>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84890" w:rsidRDefault="00680F38">
                          <w:pPr>
                            <w:pStyle w:val="a8"/>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DF0B6F">
                            <w:rPr>
                              <w:rFonts w:ascii="宋体" w:eastAsia="宋体" w:hAnsi="宋体" w:cs="宋体"/>
                              <w:noProof/>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384890" w:rsidRDefault="00680F38">
                    <w:pPr>
                      <w:pStyle w:val="a8"/>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DF0B6F">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mc:Fallback>
      </mc:AlternateContent>
    </w:r>
  </w:p>
  <w:p w:rsidR="00384890" w:rsidRDefault="00680F38">
    <w:pPr>
      <w:pStyle w:val="a9"/>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7" name="直接连接符 7"/>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8874B1E" id="直接连接符 7"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HMV7Cu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Pr>
        <w:rFonts w:eastAsia="仿宋" w:hint="eastAsia"/>
        <w:color w:val="FAFAFA"/>
        <w:sz w:val="32"/>
        <w:szCs w:val="48"/>
      </w:rPr>
      <w:t>X</w:t>
    </w:r>
    <w:r>
      <w:rPr>
        <w:rFonts w:ascii="宋体" w:eastAsia="宋体" w:hAnsi="宋体" w:cs="宋体" w:hint="eastAsia"/>
        <w:b/>
        <w:bCs/>
        <w:color w:val="005192"/>
        <w:sz w:val="28"/>
        <w:szCs w:val="44"/>
      </w:rPr>
      <w:t>工业和信息化部发布</w:t>
    </w:r>
  </w:p>
  <w:p w:rsidR="00384890" w:rsidRDefault="00384890">
    <w:pPr>
      <w:pStyle w:val="a9"/>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0F38" w:rsidRDefault="00680F38">
      <w:r>
        <w:separator/>
      </w:r>
    </w:p>
  </w:footnote>
  <w:footnote w:type="continuationSeparator" w:id="0">
    <w:p w:rsidR="00680F38" w:rsidRDefault="00680F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4890" w:rsidRDefault="00680F38">
    <w:pPr>
      <w:pStyle w:val="a9"/>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1" name="直接连接符 1"/>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D0BDB6C"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5UW+AEAABY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" strokecolor="#005192" strokeweight="1.75pt">
              <v:stroke joinstyle="miter"/>
            </v:line>
          </w:pict>
        </mc:Fallback>
      </mc:AlternateContent>
    </w:r>
  </w:p>
  <w:p w:rsidR="00384890" w:rsidRDefault="00680F38">
    <w:pPr>
      <w:pStyle w:val="a9"/>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5240" b="15240"/>
          <wp:docPr id="2" name="图片 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szCs w:val="32"/>
      </w:rPr>
      <w:t>工业和信息化部规章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8"/>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2561BD"/>
    <w:rsid w:val="00384890"/>
    <w:rsid w:val="00680F38"/>
    <w:rsid w:val="00850B81"/>
    <w:rsid w:val="00A8380E"/>
    <w:rsid w:val="00CF4418"/>
    <w:rsid w:val="00D07279"/>
    <w:rsid w:val="00DF0B6F"/>
    <w:rsid w:val="00ED7DB0"/>
    <w:rsid w:val="00F7236E"/>
    <w:rsid w:val="019E71BD"/>
    <w:rsid w:val="037E5CA5"/>
    <w:rsid w:val="04244D3D"/>
    <w:rsid w:val="04B679C3"/>
    <w:rsid w:val="07CD0E47"/>
    <w:rsid w:val="080F63D8"/>
    <w:rsid w:val="08CE609D"/>
    <w:rsid w:val="08F4459D"/>
    <w:rsid w:val="09341458"/>
    <w:rsid w:val="0937357F"/>
    <w:rsid w:val="0B0912D7"/>
    <w:rsid w:val="0C6629E5"/>
    <w:rsid w:val="0F1B39B9"/>
    <w:rsid w:val="0FFE1614"/>
    <w:rsid w:val="12713FBA"/>
    <w:rsid w:val="12952011"/>
    <w:rsid w:val="12ED6D6E"/>
    <w:rsid w:val="152D2DCA"/>
    <w:rsid w:val="15BE2FB5"/>
    <w:rsid w:val="15E25CCC"/>
    <w:rsid w:val="17514A69"/>
    <w:rsid w:val="18146C66"/>
    <w:rsid w:val="18291E57"/>
    <w:rsid w:val="18620D4C"/>
    <w:rsid w:val="188C67FC"/>
    <w:rsid w:val="1B1061C0"/>
    <w:rsid w:val="1DCF4753"/>
    <w:rsid w:val="1DEC284C"/>
    <w:rsid w:val="1E6523AC"/>
    <w:rsid w:val="1F7B0CD2"/>
    <w:rsid w:val="200A3A07"/>
    <w:rsid w:val="20564B78"/>
    <w:rsid w:val="2110266F"/>
    <w:rsid w:val="21483EB2"/>
    <w:rsid w:val="22440422"/>
    <w:rsid w:val="22BA5800"/>
    <w:rsid w:val="230D7589"/>
    <w:rsid w:val="231A344E"/>
    <w:rsid w:val="23891923"/>
    <w:rsid w:val="239C0A3E"/>
    <w:rsid w:val="23C82865"/>
    <w:rsid w:val="26A35D90"/>
    <w:rsid w:val="29C2412E"/>
    <w:rsid w:val="2AAF4563"/>
    <w:rsid w:val="2B2C1EDD"/>
    <w:rsid w:val="2CE40145"/>
    <w:rsid w:val="2D1D7C9C"/>
    <w:rsid w:val="2D906614"/>
    <w:rsid w:val="2DC6776A"/>
    <w:rsid w:val="2E795F38"/>
    <w:rsid w:val="307E50B3"/>
    <w:rsid w:val="3117207B"/>
    <w:rsid w:val="31A15F24"/>
    <w:rsid w:val="326C2AA6"/>
    <w:rsid w:val="32C4561D"/>
    <w:rsid w:val="33530096"/>
    <w:rsid w:val="3406563B"/>
    <w:rsid w:val="395347B5"/>
    <w:rsid w:val="39A232A0"/>
    <w:rsid w:val="39CA4D6E"/>
    <w:rsid w:val="39E745AA"/>
    <w:rsid w:val="3AB02FA5"/>
    <w:rsid w:val="3B5A6BBB"/>
    <w:rsid w:val="3B845C22"/>
    <w:rsid w:val="3BCE3F2B"/>
    <w:rsid w:val="3CDC1874"/>
    <w:rsid w:val="3DDC47CD"/>
    <w:rsid w:val="3E0A3052"/>
    <w:rsid w:val="3EDA13A6"/>
    <w:rsid w:val="3FBB4156"/>
    <w:rsid w:val="3FE1257F"/>
    <w:rsid w:val="41EC10C2"/>
    <w:rsid w:val="42F058B7"/>
    <w:rsid w:val="436109F6"/>
    <w:rsid w:val="436372C5"/>
    <w:rsid w:val="441A38D4"/>
    <w:rsid w:val="45154A79"/>
    <w:rsid w:val="484D6402"/>
    <w:rsid w:val="48DD4A3B"/>
    <w:rsid w:val="4A592738"/>
    <w:rsid w:val="4BC77339"/>
    <w:rsid w:val="4C9236C5"/>
    <w:rsid w:val="4E8335C1"/>
    <w:rsid w:val="4E9B2E17"/>
    <w:rsid w:val="4F3864B9"/>
    <w:rsid w:val="505C172E"/>
    <w:rsid w:val="52F46F0B"/>
    <w:rsid w:val="53AE2EC5"/>
    <w:rsid w:val="53D8014D"/>
    <w:rsid w:val="55E064E0"/>
    <w:rsid w:val="56500CC9"/>
    <w:rsid w:val="572C6D10"/>
    <w:rsid w:val="57A23B52"/>
    <w:rsid w:val="59F04E62"/>
    <w:rsid w:val="5B29192F"/>
    <w:rsid w:val="5DC34279"/>
    <w:rsid w:val="5E155A14"/>
    <w:rsid w:val="608816D1"/>
    <w:rsid w:val="60EF4E7F"/>
    <w:rsid w:val="61397774"/>
    <w:rsid w:val="637C7398"/>
    <w:rsid w:val="64462423"/>
    <w:rsid w:val="64471D62"/>
    <w:rsid w:val="64EC6995"/>
    <w:rsid w:val="65FF2413"/>
    <w:rsid w:val="665233C1"/>
    <w:rsid w:val="672229B1"/>
    <w:rsid w:val="675C5A16"/>
    <w:rsid w:val="680E7120"/>
    <w:rsid w:val="68E329CB"/>
    <w:rsid w:val="6A955BDF"/>
    <w:rsid w:val="6AD9688B"/>
    <w:rsid w:val="6B114AC1"/>
    <w:rsid w:val="6BD91800"/>
    <w:rsid w:val="6D0E3F22"/>
    <w:rsid w:val="6D382796"/>
    <w:rsid w:val="6FA033C9"/>
    <w:rsid w:val="70A64EEF"/>
    <w:rsid w:val="73831816"/>
    <w:rsid w:val="74FA6CBE"/>
    <w:rsid w:val="78383AD1"/>
    <w:rsid w:val="7A593492"/>
    <w:rsid w:val="7C9011D9"/>
    <w:rsid w:val="7DBA2693"/>
    <w:rsid w:val="7DC651C5"/>
    <w:rsid w:val="7E507C10"/>
    <w:rsid w:val="7FB276E8"/>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ED34F6"/>
  <w15:docId w15:val="{CF45F07F-A487-4A11-A3F1-17F9CB84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page number" w:uiPriority="99" w:unhideWhenUsed="1" w:qFormat="1"/>
    <w:lsdException w:name="Title" w:qFormat="1"/>
    <w:lsdException w:name="Default Paragraph Font" w:semiHidden="1" w:uiPriority="1" w:unhideWhenUsed="1" w:qFormat="1"/>
    <w:lsdException w:name="Body Text" w:qFormat="1"/>
    <w:lsdException w:name="Body Text Indent" w:uiPriority="99" w:unhideWhenUsed="1" w:qFormat="1"/>
    <w:lsdException w:name="Subtitle" w:qFormat="1"/>
    <w:lsdException w:name="Body Text First Indent 2" w:uiPriority="99" w:unhideWhenUsed="1"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paragraph" w:styleId="5">
    <w:name w:val="heading 5"/>
    <w:basedOn w:val="a"/>
    <w:next w:val="a"/>
    <w:semiHidden/>
    <w:unhideWhenUsed/>
    <w:qFormat/>
    <w:pPr>
      <w:spacing w:beforeAutospacing="1" w:afterAutospacing="1"/>
      <w:jc w:val="left"/>
      <w:outlineLvl w:val="4"/>
    </w:pPr>
    <w:rPr>
      <w:rFonts w:ascii="宋体" w:eastAsia="宋体" w:hAnsi="宋体" w:cs="Times New Roman" w:hint="eastAsia"/>
      <w:b/>
      <w:bCs/>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rPr>
      <w:rFonts w:ascii="仿宋_GB2312" w:eastAsia="仿宋_GB2312"/>
      <w:sz w:val="30"/>
    </w:rPr>
  </w:style>
  <w:style w:type="paragraph" w:styleId="a4">
    <w:name w:val="annotation text"/>
    <w:basedOn w:val="a"/>
    <w:qFormat/>
    <w:pPr>
      <w:jc w:val="left"/>
    </w:pPr>
  </w:style>
  <w:style w:type="paragraph" w:styleId="a5">
    <w:name w:val="Body Text Indent"/>
    <w:basedOn w:val="a"/>
    <w:uiPriority w:val="99"/>
    <w:unhideWhenUsed/>
    <w:qFormat/>
    <w:pPr>
      <w:spacing w:after="120"/>
      <w:ind w:leftChars="200" w:left="420"/>
    </w:pPr>
  </w:style>
  <w:style w:type="paragraph" w:styleId="a6">
    <w:name w:val="Balloon Text"/>
    <w:basedOn w:val="a"/>
    <w:link w:val="a7"/>
    <w:qFormat/>
    <w:rPr>
      <w:sz w:val="18"/>
      <w:szCs w:val="18"/>
    </w:rPr>
  </w:style>
  <w:style w:type="paragraph" w:styleId="a8">
    <w:name w:val="footer"/>
    <w:basedOn w:val="a"/>
    <w:next w:val="a"/>
    <w:qFormat/>
    <w:pPr>
      <w:tabs>
        <w:tab w:val="center" w:pos="4153"/>
        <w:tab w:val="right" w:pos="8306"/>
      </w:tabs>
      <w:snapToGrid w:val="0"/>
      <w:jc w:val="left"/>
    </w:pPr>
    <w:rPr>
      <w:sz w:val="18"/>
    </w:rPr>
  </w:style>
  <w:style w:type="paragraph" w:styleId="a9">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a">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paragraph" w:styleId="20">
    <w:name w:val="Body Text First Indent 2"/>
    <w:basedOn w:val="a5"/>
    <w:uiPriority w:val="99"/>
    <w:unhideWhenUsed/>
    <w:qFormat/>
    <w:pPr>
      <w:ind w:firstLineChars="200" w:firstLine="420"/>
    </w:pPr>
  </w:style>
  <w:style w:type="table" w:styleId="ab">
    <w:name w:val="Table Grid"/>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basedOn w:val="a1"/>
    <w:qFormat/>
    <w:rPr>
      <w:b/>
    </w:rPr>
  </w:style>
  <w:style w:type="character" w:styleId="ad">
    <w:name w:val="page number"/>
    <w:basedOn w:val="a1"/>
    <w:uiPriority w:val="99"/>
    <w:unhideWhenUsed/>
    <w:qFormat/>
  </w:style>
  <w:style w:type="character" w:styleId="ae">
    <w:name w:val="Hyperlink"/>
    <w:basedOn w:val="a1"/>
    <w:qFormat/>
    <w:rPr>
      <w:color w:val="0000FF"/>
      <w:u w:val="single"/>
    </w:rPr>
  </w:style>
  <w:style w:type="character" w:styleId="af">
    <w:name w:val="annotation reference"/>
    <w:basedOn w:val="a1"/>
    <w:qFormat/>
    <w:rPr>
      <w:sz w:val="21"/>
      <w:szCs w:val="21"/>
    </w:rPr>
  </w:style>
  <w:style w:type="character" w:customStyle="1" w:styleId="a7">
    <w:name w:val="批注框文本 字符"/>
    <w:basedOn w:val="a1"/>
    <w:link w:val="a6"/>
    <w:qFormat/>
    <w:rPr>
      <w:rFonts w:asciiTheme="minorHAnsi" w:eastAsiaTheme="minorEastAsia" w:hAnsiTheme="minorHAnsi" w:cstheme="minorBidi"/>
      <w:kern w:val="2"/>
      <w:sz w:val="18"/>
      <w:szCs w:val="18"/>
    </w:rPr>
  </w:style>
  <w:style w:type="character" w:customStyle="1" w:styleId="apple-converted-space">
    <w:name w:val="apple-converted-space"/>
    <w:basedOn w:val="a1"/>
    <w:qFormat/>
  </w:style>
  <w:style w:type="paragraph" w:customStyle="1" w:styleId="Default">
    <w:name w:val="Default"/>
    <w:uiPriority w:val="99"/>
    <w:unhideWhenUsed/>
    <w:qFormat/>
    <w:pPr>
      <w:widowControl w:val="0"/>
      <w:autoSpaceDE w:val="0"/>
      <w:autoSpaceDN w:val="0"/>
      <w:adjustRightInd w:val="0"/>
    </w:pPr>
    <w:rPr>
      <w:rFonts w:ascii="黑体" w:eastAsia="黑体" w:hAnsi="黑体" w:hint="eastAsia"/>
      <w:color w:val="000000"/>
      <w:sz w:val="24"/>
      <w:szCs w:val="24"/>
    </w:rPr>
  </w:style>
  <w:style w:type="paragraph" w:customStyle="1" w:styleId="ListParagraph1">
    <w:name w:val="List Paragraph1"/>
    <w:basedOn w:val="a"/>
    <w:pPr>
      <w:ind w:firstLineChars="200" w:firstLine="420"/>
    </w:pPr>
  </w:style>
  <w:style w:type="paragraph" w:customStyle="1" w:styleId="10">
    <w:name w:val="列出段落1"/>
    <w:basedOn w:val="a"/>
    <w:qFormat/>
    <w:pPr>
      <w:ind w:firstLineChars="200" w:firstLine="420"/>
    </w:pPr>
  </w:style>
  <w:style w:type="paragraph" w:customStyle="1" w:styleId="11">
    <w:name w:val="普通(网站)1"/>
    <w:basedOn w:val="a"/>
    <w:qFormat/>
    <w:pPr>
      <w:widowControl/>
      <w:spacing w:before="100" w:beforeAutospacing="1" w:after="100" w:afterAutospacing="1"/>
      <w:jc w:val="left"/>
    </w:pPr>
    <w:rPr>
      <w:rFonts w:ascii="宋体" w:hAnsi="宋体" w:cs="宋体"/>
      <w:kern w:val="0"/>
      <w:sz w:val="24"/>
    </w:rPr>
  </w:style>
  <w:style w:type="paragraph" w:customStyle="1" w:styleId="21">
    <w:name w:val="列出段落2"/>
    <w:basedOn w:val="a"/>
    <w:qFormat/>
    <w:pPr>
      <w:ind w:firstLineChars="200" w:firstLine="420"/>
    </w:pPr>
  </w:style>
  <w:style w:type="paragraph" w:customStyle="1" w:styleId="p0">
    <w:name w:val="p0"/>
    <w:basedOn w:val="a"/>
    <w:qFormat/>
    <w:pPr>
      <w:widowControl/>
      <w:spacing w:before="100" w:beforeAutospacing="1" w:after="100" w:afterAutospacing="1"/>
    </w:pPr>
    <w:rPr>
      <w:rFonts w:ascii="宋体" w:hAnsi="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41640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8</Pages>
  <Words>474</Words>
  <Characters>2708</Characters>
  <Application>Microsoft Office Word</Application>
  <DocSecurity>0</DocSecurity>
  <Lines>22</Lines>
  <Paragraphs>6</Paragraphs>
  <ScaleCrop>false</ScaleCrop>
  <Company>miit</Company>
  <LinksUpToDate>false</LinksUpToDate>
  <CharactersWithSpaces>3176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441</cp:lastModifiedBy>
  <cp:revision>3</cp:revision>
  <cp:lastPrinted>2021-10-26T03:30:00Z</cp:lastPrinted>
  <dcterms:created xsi:type="dcterms:W3CDTF">2021-09-09T02:41:00Z</dcterms:created>
  <dcterms:modified xsi:type="dcterms:W3CDTF">2023-06-15T08:30:00Z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D4C8B277B86B470D812CF94E566D3E43</vt:lpwstr>
  </property>
</Properties>
</file>