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890" w:rsidRDefault="00384890">
      <w:pPr>
        <w:jc w:val="center"/>
        <w:rPr>
          <w:rFonts w:asciiTheme="minorEastAsia" w:hAnsiTheme="minorEastAsia" w:cstheme="minorEastAsia" w:hint="eastAsia"/>
          <w:sz w:val="44"/>
          <w:szCs w:val="44"/>
        </w:rPr>
      </w:pPr>
    </w:p>
    <w:p w:rsidR="00384890" w:rsidRDefault="00384890">
      <w:pPr>
        <w:rPr>
          <w:rFonts w:asciiTheme="minorEastAsia" w:hAnsiTheme="minorEastAsia" w:cstheme="minorEastAsia"/>
          <w:sz w:val="44"/>
          <w:szCs w:val="44"/>
        </w:rPr>
      </w:pPr>
    </w:p>
    <w:p w:rsidR="00DF0B6F" w:rsidRDefault="00626BC4" w:rsidP="006E61D4">
      <w:pPr>
        <w:jc w:val="center"/>
        <w:rPr>
          <w:rFonts w:asciiTheme="minorEastAsia" w:hAnsiTheme="minorEastAsia" w:cstheme="minorEastAsia"/>
          <w:sz w:val="44"/>
          <w:szCs w:val="44"/>
        </w:rPr>
      </w:pPr>
      <w:r w:rsidRPr="00626BC4">
        <w:rPr>
          <w:rFonts w:asciiTheme="minorEastAsia" w:hAnsiTheme="minorEastAsia" w:cstheme="minorEastAsia" w:hint="eastAsia"/>
          <w:sz w:val="44"/>
          <w:szCs w:val="44"/>
        </w:rPr>
        <w:t>互联网信息服务算法推荐管理规定</w:t>
      </w:r>
    </w:p>
    <w:p w:rsidR="00384890" w:rsidRDefault="00680F38">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626BC4" w:rsidRPr="00626BC4">
        <w:rPr>
          <w:rFonts w:ascii="楷体_GB2312" w:eastAsia="楷体_GB2312" w:hAnsi="楷体_GB2312" w:cs="楷体_GB2312" w:hint="eastAsia"/>
          <w:color w:val="333333"/>
          <w:sz w:val="32"/>
          <w:szCs w:val="32"/>
          <w:shd w:val="clear" w:color="auto" w:fill="FFFFFF"/>
        </w:rPr>
        <w:t>国家互联网信息办公室 中华人民共和国工业和信息化部 中华人民共和国公安部 国家市场监督管理总局令第9号公布，自2022年3月1日起施行。</w:t>
      </w:r>
      <w:r>
        <w:rPr>
          <w:rFonts w:ascii="楷体_GB2312" w:eastAsia="楷体_GB2312" w:hAnsi="楷体_GB2312" w:cs="楷体_GB2312" w:hint="eastAsia"/>
          <w:color w:val="333333"/>
          <w:sz w:val="32"/>
          <w:szCs w:val="32"/>
          <w:shd w:val="clear" w:color="auto" w:fill="FFFFFF"/>
        </w:rPr>
        <w:t>)</w:t>
      </w:r>
    </w:p>
    <w:p w:rsidR="00DF0B6F" w:rsidRDefault="00DF0B6F" w:rsidP="00DF0B6F">
      <w:pPr>
        <w:pStyle w:val="aa"/>
        <w:spacing w:before="0" w:beforeAutospacing="0" w:after="0" w:afterAutospacing="0"/>
        <w:ind w:firstLineChars="200" w:firstLine="640"/>
        <w:jc w:val="both"/>
        <w:rPr>
          <w:rFonts w:ascii="黑体" w:eastAsia="黑体" w:hAnsi="黑体" w:cs="Arial"/>
          <w:color w:val="000000"/>
          <w:sz w:val="32"/>
          <w:szCs w:val="32"/>
        </w:rPr>
      </w:pPr>
    </w:p>
    <w:p w:rsidR="00626BC4" w:rsidRDefault="00626BC4" w:rsidP="00626BC4">
      <w:pPr>
        <w:pStyle w:val="aa"/>
        <w:spacing w:before="0" w:beforeAutospacing="0" w:after="0" w:afterAutospacing="0"/>
        <w:jc w:val="center"/>
        <w:rPr>
          <w:color w:val="070707"/>
        </w:rPr>
      </w:pPr>
      <w:r>
        <w:rPr>
          <w:rFonts w:ascii="黑体" w:eastAsia="黑体" w:hAnsi="黑体" w:hint="eastAsia"/>
          <w:color w:val="070707"/>
          <w:sz w:val="32"/>
          <w:szCs w:val="32"/>
        </w:rPr>
        <w:t>第一章</w:t>
      </w:r>
      <w:r>
        <w:rPr>
          <w:rFonts w:ascii="黑体" w:eastAsia="黑体" w:hAnsi="黑体" w:hint="eastAsia"/>
          <w:color w:val="070707"/>
          <w:sz w:val="32"/>
          <w:szCs w:val="32"/>
        </w:rPr>
        <w:t xml:space="preserve"> </w:t>
      </w:r>
      <w:r>
        <w:rPr>
          <w:rFonts w:ascii="Calibri" w:eastAsia="黑体" w:hAnsi="Calibri" w:cs="Calibri"/>
          <w:color w:val="070707"/>
          <w:sz w:val="32"/>
          <w:szCs w:val="32"/>
        </w:rPr>
        <w:t> </w:t>
      </w:r>
      <w:r>
        <w:rPr>
          <w:rFonts w:ascii="黑体" w:eastAsia="黑体" w:hAnsi="黑体" w:hint="eastAsia"/>
          <w:color w:val="070707"/>
          <w:sz w:val="32"/>
          <w:szCs w:val="32"/>
        </w:rPr>
        <w:t>总</w:t>
      </w:r>
      <w:r>
        <w:rPr>
          <w:rFonts w:ascii="Calibri" w:eastAsia="黑体" w:hAnsi="Calibri" w:cs="Calibri"/>
          <w:color w:val="070707"/>
          <w:sz w:val="32"/>
          <w:szCs w:val="32"/>
        </w:rPr>
        <w:t> </w:t>
      </w:r>
      <w:r>
        <w:rPr>
          <w:rFonts w:ascii="黑体" w:eastAsia="黑体" w:hAnsi="黑体" w:hint="eastAsia"/>
          <w:color w:val="070707"/>
          <w:sz w:val="32"/>
          <w:szCs w:val="32"/>
        </w:rPr>
        <w:t>则</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第一条</w:t>
      </w:r>
      <w:r>
        <w:rPr>
          <w:rFonts w:hint="eastAsia"/>
          <w:color w:val="070707"/>
        </w:rPr>
        <w:t> </w:t>
      </w:r>
      <w:r>
        <w:rPr>
          <w:rFonts w:ascii="仿宋" w:eastAsia="仿宋" w:hAnsi="仿宋" w:hint="eastAsia"/>
          <w:color w:val="070707"/>
          <w:sz w:val="32"/>
          <w:szCs w:val="32"/>
        </w:rPr>
        <w:t>为了规范互联网信息服务算法推荐活动，弘扬社会主义核心价值观，维护国家安全和社会公共利益，保护公民、法人和其他组织的合法权益，促进互联网信息服务健康有序发展，根据《中华人民共和国网络安全法》、《中华人民共和国数据安全法》、《中华人民共和国个人信息保护法》、《互联网信息服务管理办法》等法律、行政法规，制定本规定。</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第二条</w:t>
      </w:r>
      <w:r>
        <w:rPr>
          <w:rFonts w:ascii="黑体" w:eastAsia="黑体" w:hAnsi="黑体" w:hint="eastAsia"/>
          <w:color w:val="070707"/>
          <w:sz w:val="32"/>
          <w:szCs w:val="32"/>
        </w:rPr>
        <w:t xml:space="preserve"> </w:t>
      </w:r>
      <w:r>
        <w:rPr>
          <w:rFonts w:ascii="黑体" w:eastAsia="黑体" w:hAnsi="黑体"/>
          <w:color w:val="070707"/>
          <w:sz w:val="32"/>
          <w:szCs w:val="32"/>
        </w:rPr>
        <w:t xml:space="preserve"> </w:t>
      </w:r>
      <w:r>
        <w:rPr>
          <w:rFonts w:ascii="仿宋" w:eastAsia="仿宋" w:hAnsi="仿宋" w:hint="eastAsia"/>
          <w:color w:val="070707"/>
          <w:sz w:val="32"/>
          <w:szCs w:val="32"/>
        </w:rPr>
        <w:t>在中华人民共和国境内应用算法推荐技术提供互联网信息服务（以下简称算法推荐服务），适用本规定。法律、行政法规另有规定的，依照其规定。</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lastRenderedPageBreak/>
        <w:t>前款所称应用算法推荐技术，是指利用生成合成类、个性化推送类、排序精选类、检索过滤类、调度决策类等算法技术向用户提供信息。</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第三条</w:t>
      </w:r>
      <w:r>
        <w:rPr>
          <w:rFonts w:ascii="黑体" w:eastAsia="黑体" w:hAnsi="黑体" w:hint="eastAsia"/>
          <w:color w:val="070707"/>
          <w:sz w:val="32"/>
          <w:szCs w:val="32"/>
        </w:rPr>
        <w:t xml:space="preserve"> </w:t>
      </w:r>
      <w:r>
        <w:rPr>
          <w:rFonts w:ascii="仿宋" w:eastAsia="仿宋" w:hAnsi="仿宋" w:hint="eastAsia"/>
          <w:color w:val="070707"/>
          <w:sz w:val="32"/>
          <w:szCs w:val="32"/>
        </w:rPr>
        <w:t>国家网信部门负责统筹协调全国算法推荐服务治理和相关监督管理工作。国务院电信、公安、市场监管等有关部门依据各自职责负责算法推荐服务监督管理工作。</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t>地方网信部门负责统筹协调本行政区域内的算法推荐服务治理和相关监督管理工作。地方电信、公安、市场监管等有关部门依据各自职责负责本行政区域内的算法推荐服务监督管理工作。</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第四条</w:t>
      </w:r>
      <w:r>
        <w:rPr>
          <w:rFonts w:ascii="黑体" w:eastAsia="黑体" w:hAnsi="黑体" w:hint="eastAsia"/>
          <w:color w:val="070707"/>
          <w:sz w:val="32"/>
          <w:szCs w:val="32"/>
        </w:rPr>
        <w:t xml:space="preserve"> </w:t>
      </w:r>
      <w:r>
        <w:rPr>
          <w:rFonts w:ascii="仿宋" w:eastAsia="仿宋" w:hAnsi="仿宋" w:hint="eastAsia"/>
          <w:color w:val="070707"/>
          <w:sz w:val="32"/>
          <w:szCs w:val="32"/>
        </w:rPr>
        <w:t>提供算法推荐服务，应当遵守法律法规，尊重社会公德和伦理，遵守商业道德和职业道德，遵循公正公平、公开透明、科学合理和诚实信用的原则。</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第五条</w:t>
      </w:r>
      <w:r>
        <w:rPr>
          <w:rFonts w:ascii="黑体" w:eastAsia="黑体" w:hAnsi="黑体" w:hint="eastAsia"/>
          <w:color w:val="070707"/>
          <w:sz w:val="32"/>
          <w:szCs w:val="32"/>
        </w:rPr>
        <w:t xml:space="preserve"> </w:t>
      </w:r>
      <w:r>
        <w:rPr>
          <w:rFonts w:ascii="仿宋" w:eastAsia="仿宋" w:hAnsi="仿宋" w:hint="eastAsia"/>
          <w:color w:val="070707"/>
          <w:sz w:val="32"/>
          <w:szCs w:val="32"/>
        </w:rPr>
        <w:t>鼓励相关行业组织加强行业自律，建立健全行业标准、行业准则和自律管理制度，督促指导算法推荐服务提供者制定完善服务规范、依法提供服务并接受社会监督。</w:t>
      </w:r>
    </w:p>
    <w:p w:rsidR="00626BC4" w:rsidRPr="00626BC4" w:rsidRDefault="00626BC4" w:rsidP="00626BC4">
      <w:pPr>
        <w:pStyle w:val="aa"/>
        <w:spacing w:before="0" w:beforeAutospacing="0" w:after="0" w:afterAutospacing="0"/>
        <w:jc w:val="center"/>
        <w:rPr>
          <w:rFonts w:ascii="黑体" w:eastAsia="黑体" w:hAnsi="黑体" w:hint="eastAsia"/>
          <w:color w:val="070707"/>
          <w:sz w:val="32"/>
          <w:szCs w:val="32"/>
        </w:rPr>
      </w:pPr>
      <w:r>
        <w:rPr>
          <w:rFonts w:ascii="黑体" w:eastAsia="黑体" w:hAnsi="黑体" w:hint="eastAsia"/>
          <w:color w:val="070707"/>
          <w:sz w:val="32"/>
          <w:szCs w:val="32"/>
        </w:rPr>
        <w:t>第二章</w:t>
      </w:r>
      <w:r w:rsidRPr="00626BC4">
        <w:rPr>
          <w:rFonts w:ascii="Calibri" w:eastAsia="黑体" w:hAnsi="Calibri" w:cs="Calibri"/>
          <w:color w:val="070707"/>
          <w:sz w:val="32"/>
          <w:szCs w:val="32"/>
        </w:rPr>
        <w:t> </w:t>
      </w:r>
      <w:r>
        <w:rPr>
          <w:rFonts w:ascii="黑体" w:eastAsia="黑体" w:hAnsi="黑体" w:hint="eastAsia"/>
          <w:color w:val="070707"/>
          <w:sz w:val="32"/>
          <w:szCs w:val="32"/>
        </w:rPr>
        <w:t>信息服务规范</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第六条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算法推荐服务提供者应当坚持主流价值导向，优化算法推荐服务机制，积极传播正能量，促进算法应用向上向善。</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lastRenderedPageBreak/>
        <w:t>算法推荐服务提供者不得利用算法推荐服务从事危害国家安全和社会公共利益、扰乱经济秩序和社会秩序、侵犯他人合法权益等法律、行政法规禁止的活动，不得利用算法推荐服务传播法律、行政法规禁止的信息，应当采取措施防范和抵制传播不良信息。</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第七条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落实算法安全主体责任，建立健全算法机制机理审核、科技伦理审查、用户注册、信息发布审核、数据安全和个人信息保护、反电信网络诈骗、安全评估监测、安全事件应急处置等管理制度和技术措施，制定并公开算法推荐服务相关规则，配备与算法推荐服务规模相适应的专业人员和技术支撑。</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第八条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算法推荐服务提供者应当定期审核、评估、验证算法机制机理、模型、数据和应用结果等，不得设置诱导用户沉迷、过度消费等违反法律法规或者违背伦理道德的算法模型。</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第九条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算法推荐服务提供者应当加强信息安全管理，建立健全用于识别违法和不良信息的特征库，完善入库标准、规则和程序。发现未作显著标识的算法生成合成信息的，应当作出显著标识后，方可继续传输。</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lastRenderedPageBreak/>
        <w:t>发现违法信息的，应当立即停止传输，采取消除等处置措施，防止信息扩散，保存有关记录，并向网信部门和有关部门报告。发现不良信息的，应当按照网络信息内容生态治理有关规定予以处置。</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算法推荐服务提供者应当加强用户模型和用户标签管理，完善记入用户模型的兴趣点规则和用户标签管理规则，不得将违法和不良信息关键词记入用户兴趣点或者作为用户标签并据以推送信息。</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第十一条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算法推荐服务提供者应当加强算法推荐服务版面页面生态管理，建立完善人工干预和用户自主选择机制，在首页首屏、热搜、精选、榜单类、弹窗等重点环节积极呈现符合主流价值导向的信息。</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第十二条</w:t>
      </w:r>
      <w:r>
        <w:rPr>
          <w:rFonts w:ascii="黑体" w:eastAsia="黑体" w:hAnsi="黑体" w:hint="eastAsia"/>
          <w:color w:val="070707"/>
          <w:sz w:val="32"/>
          <w:szCs w:val="32"/>
        </w:rPr>
        <w:t xml:space="preserve"> </w:t>
      </w:r>
      <w:r>
        <w:rPr>
          <w:rFonts w:ascii="仿宋" w:eastAsia="仿宋" w:hAnsi="仿宋" w:hint="eastAsia"/>
          <w:color w:val="070707"/>
          <w:sz w:val="32"/>
          <w:szCs w:val="32"/>
        </w:rPr>
        <w:t>鼓励算法推荐服务提供者综合运用内容去重、打散干预等策略，并优化检索、排序、选择、推送、展示等规则的透明度和可解释性，避免对用户产生不良影响，预防和减少争议纠纷。</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第十三条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算法推荐服务提供者提供互联网新闻信息服务的，应当依法取得互联网新闻信息服务许可，规范开展互联网新闻信息采编发布服务、转载服务和传播平台服务，不得生成合成</w:t>
      </w:r>
      <w:r>
        <w:rPr>
          <w:rFonts w:ascii="仿宋" w:eastAsia="仿宋" w:hAnsi="仿宋" w:hint="eastAsia"/>
          <w:color w:val="070707"/>
          <w:sz w:val="32"/>
          <w:szCs w:val="32"/>
        </w:rPr>
        <w:lastRenderedPageBreak/>
        <w:t>虚假新闻信息，不得传播非国家规定范围内的单位发布的新闻信息。</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第十四条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不得利用算法虚假注册账号、非法交易账号、操纵用户账号或者虚假点赞、评论、转发，不得利用算法屏蔽信息、过度推荐、操纵榜单或者检索结果排序、控制热搜或者精选等干预信息呈现，实施影响网络舆论或者规避监督管理行为。</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第十五条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算法推荐服务提供者不得利用算法对其他互联网信息服务提供者进行不合理限制，或者妨碍、破坏其合法提供的互联网信息服务正常运行，实施垄断和不正当竞争行为。</w:t>
      </w:r>
    </w:p>
    <w:p w:rsidR="00626BC4" w:rsidRDefault="00626BC4" w:rsidP="00626BC4">
      <w:pPr>
        <w:pStyle w:val="aa"/>
        <w:spacing w:before="0" w:beforeAutospacing="0" w:after="0" w:afterAutospacing="0"/>
        <w:jc w:val="center"/>
        <w:rPr>
          <w:rFonts w:hint="eastAsia"/>
          <w:color w:val="070707"/>
        </w:rPr>
      </w:pPr>
      <w:r>
        <w:rPr>
          <w:rFonts w:ascii="黑体" w:eastAsia="黑体" w:hAnsi="黑体" w:hint="eastAsia"/>
          <w:color w:val="070707"/>
          <w:sz w:val="32"/>
          <w:szCs w:val="32"/>
        </w:rPr>
        <w:t>第三章</w:t>
      </w:r>
      <w:r>
        <w:rPr>
          <w:rFonts w:ascii="Calibri" w:eastAsia="黑体" w:hAnsi="Calibri" w:cs="Calibri"/>
          <w:color w:val="070707"/>
          <w:sz w:val="32"/>
          <w:szCs w:val="32"/>
        </w:rPr>
        <w:t> </w:t>
      </w:r>
      <w:r>
        <w:rPr>
          <w:rFonts w:ascii="黑体" w:eastAsia="黑体" w:hAnsi="黑体" w:hint="eastAsia"/>
          <w:color w:val="070707"/>
          <w:sz w:val="32"/>
          <w:szCs w:val="32"/>
        </w:rPr>
        <w:t>用户权益保护</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第十六条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算法推荐服务提供者应当以显著方式告知用户其提供算法推荐服务的情况，并以适当方式公示算法推荐服务的基本原理、目的意图和主要运行机制等。</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第十七条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算法推荐服务提供者应当向用户提供不针对其个人特征的选项，或者向用户提供便捷的关闭算法推荐服务的选项。用户选择关闭算法推荐服务的，算法推荐服务提供者应当立即停止提供相关服务。</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lastRenderedPageBreak/>
        <w:t>算法推荐服务提供者应当向用户提供选择或者删除用于算法推荐服务的针对其个人特征的用户标签的功能。</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t>算法推荐服务提供者应用算法对用户权益造成重大影响的，应当依法予以说明并承担相应责任。</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第十八条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算法推荐服务提供者向未成年人提供服务的，应当依法履行未成年人网络保护义务，并通过开发适合未成年人使用的模式、提供适合未成年人特点的服务等方式，便利未成年人获取有益身心健康的信息。</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t>算法推荐服务提供者不得向未成年人推送可能引发未成年人模仿不安全行为和违反社会公德行为、诱导未成年人不良嗜好等可能影响未成年人身心健康的信息，不得利用算法推荐服务诱导未成年人沉迷网络。</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第十九条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向老年人提供服务的，应当保障老年人依法享有的权益，充分考虑老年人出行、就医、消费、办事等需求，按照国家有关规定提供智能化适老服务，依法开展涉电信网络诈骗信息的监测、识别和处置，便利老年人安全使用算法推荐服务。</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算法推荐服务提供者向劳动者提供工作调度服务的，应当保护劳动者取得劳动报酬、休息休假等合法权益，建立</w:t>
      </w:r>
      <w:r>
        <w:rPr>
          <w:rFonts w:ascii="仿宋" w:eastAsia="仿宋" w:hAnsi="仿宋" w:hint="eastAsia"/>
          <w:color w:val="070707"/>
          <w:sz w:val="32"/>
          <w:szCs w:val="32"/>
        </w:rPr>
        <w:lastRenderedPageBreak/>
        <w:t>完善平台订单分配、报酬构成及支付、工作时间、奖惩等相关算法。</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第二十一条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算法推荐服务提供者向消费者销售商品或者提供服务的，应当保护消费者公平交易的权利，不得根据消费者的偏好、交易习惯等特征，利用算法在交易价格等交易条件上实施不合理的差别待遇等违法行为。</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第二十二条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算法推荐服务提供者应当设置便捷有效的用户申诉和公众投诉、举报入口，明确处理流程和反馈时限，及时受理、处理并反馈处理结果。</w:t>
      </w:r>
    </w:p>
    <w:p w:rsidR="00626BC4" w:rsidRDefault="00626BC4" w:rsidP="00626BC4">
      <w:pPr>
        <w:pStyle w:val="aa"/>
        <w:spacing w:before="0" w:beforeAutospacing="0" w:after="0" w:afterAutospacing="0"/>
        <w:jc w:val="center"/>
        <w:rPr>
          <w:rFonts w:hint="eastAsia"/>
          <w:color w:val="070707"/>
        </w:rPr>
      </w:pPr>
      <w:r>
        <w:rPr>
          <w:rFonts w:ascii="黑体" w:eastAsia="黑体" w:hAnsi="黑体" w:hint="eastAsia"/>
          <w:color w:val="070707"/>
          <w:sz w:val="32"/>
          <w:szCs w:val="32"/>
        </w:rPr>
        <w:t>第四章</w:t>
      </w:r>
      <w:r>
        <w:rPr>
          <w:rFonts w:ascii="Calibri" w:eastAsia="黑体" w:hAnsi="Calibri" w:cs="Calibri"/>
          <w:color w:val="070707"/>
          <w:sz w:val="32"/>
          <w:szCs w:val="32"/>
        </w:rPr>
        <w:t> </w:t>
      </w:r>
      <w:r>
        <w:rPr>
          <w:rFonts w:ascii="黑体" w:eastAsia="黑体" w:hAnsi="黑体" w:hint="eastAsia"/>
          <w:color w:val="070707"/>
          <w:sz w:val="32"/>
          <w:szCs w:val="32"/>
        </w:rPr>
        <w:t>监督管理</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第二十三条</w:t>
      </w:r>
      <w:r>
        <w:rPr>
          <w:rFonts w:ascii="黑体" w:eastAsia="黑体" w:hAnsi="黑体" w:hint="eastAsia"/>
          <w:color w:val="070707"/>
          <w:sz w:val="32"/>
          <w:szCs w:val="32"/>
        </w:rPr>
        <w:t xml:space="preserve"> </w:t>
      </w:r>
      <w:r>
        <w:rPr>
          <w:rFonts w:ascii="仿宋" w:eastAsia="仿宋" w:hAnsi="仿宋" w:hint="eastAsia"/>
          <w:color w:val="070707"/>
          <w:sz w:val="32"/>
          <w:szCs w:val="32"/>
        </w:rPr>
        <w:t>网信部门会同电信、公安、市场监管等有关部门建立算法分级分类安全管理制度，根据算法推荐服务的舆论属性或者社会动员能力、内容类别、用户规模、算法推荐技术处理的数据重要程度、对用户行为的干预程度等对算法推荐服务提供者实施分级分类管理。</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第二十四条</w:t>
      </w:r>
      <w:r>
        <w:rPr>
          <w:rFonts w:ascii="黑体" w:eastAsia="黑体" w:hAnsi="黑体" w:hint="eastAsia"/>
          <w:color w:val="070707"/>
          <w:sz w:val="32"/>
          <w:szCs w:val="32"/>
        </w:rPr>
        <w:t xml:space="preserve"> </w:t>
      </w:r>
      <w:r>
        <w:rPr>
          <w:rFonts w:ascii="仿宋" w:eastAsia="仿宋" w:hAnsi="仿宋" w:hint="eastAsia"/>
          <w:color w:val="070707"/>
          <w:sz w:val="32"/>
          <w:szCs w:val="32"/>
        </w:rPr>
        <w:t>具有舆论属性或者社会动员能力的算法推荐服务提供者应当在提供服务之日起十个工作日内通过互联网信息服务算法备案系统填报服务提供者的名称、服务形式、应用领域、算法类型、算法自评估报告、拟公示内容等信息，履行备案手续。</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lastRenderedPageBreak/>
        <w:t>算法推荐服务提供者的备案信息发生变更的，应当在变更之日起十个工作日内办理变更手续。</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t>算法推荐服务提供者终止服务的，应当在终止服务之日起二十个工作日内办理注销备案手续，并作出妥善安排。</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第二十五条</w:t>
      </w:r>
      <w:r>
        <w:rPr>
          <w:rFonts w:ascii="黑体" w:eastAsia="黑体" w:hAnsi="黑体" w:hint="eastAsia"/>
          <w:color w:val="070707"/>
          <w:sz w:val="32"/>
          <w:szCs w:val="32"/>
        </w:rPr>
        <w:t xml:space="preserve"> </w:t>
      </w:r>
      <w:r>
        <w:rPr>
          <w:rFonts w:ascii="仿宋" w:eastAsia="仿宋" w:hAnsi="仿宋" w:hint="eastAsia"/>
          <w:color w:val="070707"/>
          <w:sz w:val="32"/>
          <w:szCs w:val="32"/>
        </w:rPr>
        <w:t>国家和省、自治区、直辖市网信部门收到备案人提交的备案材料后，材料齐全的，应当在三十个工作日内予以备案，发放备案编号并进行公示；材料不齐全的，不予备案，并应当在三十个工作日内通知备案人并说明理由。</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第二十六条</w:t>
      </w:r>
      <w:r>
        <w:rPr>
          <w:rFonts w:ascii="黑体" w:eastAsia="黑体" w:hAnsi="黑体" w:hint="eastAsia"/>
          <w:color w:val="070707"/>
          <w:sz w:val="32"/>
          <w:szCs w:val="32"/>
        </w:rPr>
        <w:t xml:space="preserve"> </w:t>
      </w:r>
      <w:r>
        <w:rPr>
          <w:rFonts w:ascii="仿宋" w:eastAsia="仿宋" w:hAnsi="仿宋" w:hint="eastAsia"/>
          <w:color w:val="070707"/>
          <w:sz w:val="32"/>
          <w:szCs w:val="32"/>
        </w:rPr>
        <w:t>完成备案的算法推荐服务提供者应当在其对外提供服务的网站、应用程序等的显著位置标明其备案编号并提供公示信息链接。</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第二十七条</w:t>
      </w:r>
      <w:r>
        <w:rPr>
          <w:rFonts w:ascii="黑体" w:eastAsia="黑体" w:hAnsi="黑体" w:hint="eastAsia"/>
          <w:color w:val="070707"/>
          <w:sz w:val="32"/>
          <w:szCs w:val="32"/>
        </w:rPr>
        <w:t xml:space="preserve"> </w:t>
      </w:r>
      <w:r>
        <w:rPr>
          <w:rFonts w:ascii="仿宋" w:eastAsia="仿宋" w:hAnsi="仿宋" w:hint="eastAsia"/>
          <w:color w:val="070707"/>
          <w:sz w:val="32"/>
          <w:szCs w:val="32"/>
        </w:rPr>
        <w:t>具有舆论属性或者社会动员能力的算法推荐服务提供者应当按照国家有关规定开展安全评估。</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第二十八条</w:t>
      </w:r>
      <w:r>
        <w:rPr>
          <w:rFonts w:ascii="黑体" w:eastAsia="黑体" w:hAnsi="黑体" w:hint="eastAsia"/>
          <w:color w:val="070707"/>
          <w:sz w:val="32"/>
          <w:szCs w:val="32"/>
        </w:rPr>
        <w:t xml:space="preserve"> </w:t>
      </w:r>
      <w:r>
        <w:rPr>
          <w:rFonts w:ascii="仿宋" w:eastAsia="仿宋" w:hAnsi="仿宋" w:hint="eastAsia"/>
          <w:color w:val="070707"/>
          <w:sz w:val="32"/>
          <w:szCs w:val="32"/>
        </w:rPr>
        <w:t>网信部门会同电信、公安、市场监管等有关部门对算法推荐服务依法开展安全评估和监督检查工作，对发现的问题及时提出整改意见并限期整改。</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t>算法推荐服务提供者应当依法留存网络日志，配合网信部门和电信、公安、市场监管等有关部门开展安全评估和监督检查工作，并提供必要的技术、数据等支持和协助。</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lastRenderedPageBreak/>
        <w:t>第二十九条</w:t>
      </w:r>
      <w:r>
        <w:rPr>
          <w:rFonts w:ascii="黑体" w:eastAsia="黑体" w:hAnsi="黑体" w:hint="eastAsia"/>
          <w:color w:val="070707"/>
          <w:sz w:val="32"/>
          <w:szCs w:val="32"/>
        </w:rPr>
        <w:t xml:space="preserve"> </w:t>
      </w:r>
      <w:r>
        <w:rPr>
          <w:rFonts w:ascii="仿宋" w:eastAsia="仿宋" w:hAnsi="仿宋" w:hint="eastAsia"/>
          <w:color w:val="070707"/>
          <w:sz w:val="32"/>
          <w:szCs w:val="32"/>
        </w:rPr>
        <w:t>参与算法推荐服务安全评估和监督检查的相关机构和人员对在履行职责中知悉的个人隐私、个人信息和商业秘密应当依法予以保密，不得泄露或者非法向他人提供。</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第三十条</w:t>
      </w:r>
      <w:r>
        <w:rPr>
          <w:rFonts w:ascii="黑体" w:eastAsia="黑体" w:hAnsi="黑体" w:hint="eastAsia"/>
          <w:color w:val="070707"/>
          <w:sz w:val="32"/>
          <w:szCs w:val="32"/>
        </w:rPr>
        <w:t xml:space="preserve"> </w:t>
      </w:r>
      <w:r>
        <w:rPr>
          <w:rFonts w:ascii="仿宋" w:eastAsia="仿宋" w:hAnsi="仿宋" w:hint="eastAsia"/>
          <w:color w:val="070707"/>
          <w:sz w:val="32"/>
          <w:szCs w:val="32"/>
        </w:rPr>
        <w:t>任何组织和个人发现违反本规定行为的，可以向网信部门和有关部门投诉、举报。收到投诉、举报的部门应当及时依法处理。</w:t>
      </w:r>
    </w:p>
    <w:p w:rsidR="00626BC4" w:rsidRDefault="00626BC4" w:rsidP="00626BC4">
      <w:pPr>
        <w:pStyle w:val="aa"/>
        <w:spacing w:before="0" w:beforeAutospacing="0" w:after="0" w:afterAutospacing="0"/>
        <w:jc w:val="center"/>
        <w:rPr>
          <w:rFonts w:hint="eastAsia"/>
          <w:color w:val="070707"/>
        </w:rPr>
      </w:pPr>
      <w:r>
        <w:rPr>
          <w:rFonts w:ascii="黑体" w:eastAsia="黑体" w:hAnsi="黑体" w:hint="eastAsia"/>
          <w:color w:val="070707"/>
          <w:sz w:val="32"/>
          <w:szCs w:val="32"/>
        </w:rPr>
        <w:t>第五章</w:t>
      </w:r>
      <w:r>
        <w:rPr>
          <w:rFonts w:ascii="Calibri" w:eastAsia="黑体" w:hAnsi="Calibri" w:cs="Calibri"/>
          <w:color w:val="070707"/>
          <w:sz w:val="32"/>
          <w:szCs w:val="32"/>
        </w:rPr>
        <w:t> </w:t>
      </w:r>
      <w:r>
        <w:rPr>
          <w:rFonts w:ascii="黑体" w:eastAsia="黑体" w:hAnsi="黑体" w:hint="eastAsia"/>
          <w:color w:val="070707"/>
          <w:sz w:val="32"/>
          <w:szCs w:val="32"/>
        </w:rPr>
        <w:t>法律责任</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第三十一条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违反本规定第七条、第八条、第九条第一款、第十条、第十四条、第十六条、第十七条、第二十二条、第二十四条、第二十六条规定，法律、行政法规有规定的，依照其规定；法律、行政法规没有规定的，由网信部门和电信、公安、市场监管等有关部门依据职责给予警告、通报批评，责令限期改正；拒不改正或者情节严重的，责令暂停信息更新，并处一万元以上十万元以下罚款。构成违反治安管理行为的，依法给予治安管理处罚；构成犯罪的，依法追究刑事责任。</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第三十二条</w:t>
      </w:r>
      <w:r>
        <w:rPr>
          <w:rFonts w:ascii="黑体" w:eastAsia="黑体" w:hAnsi="黑体" w:hint="eastAsia"/>
          <w:color w:val="070707"/>
          <w:sz w:val="32"/>
          <w:szCs w:val="32"/>
        </w:rPr>
        <w:t xml:space="preserve"> </w:t>
      </w:r>
      <w:r>
        <w:rPr>
          <w:rFonts w:ascii="仿宋" w:eastAsia="仿宋" w:hAnsi="仿宋" w:hint="eastAsia"/>
          <w:color w:val="070707"/>
          <w:sz w:val="32"/>
          <w:szCs w:val="32"/>
        </w:rPr>
        <w:t>算法推荐服务提供者违反本规定第六条、第九条第二款、第十一条、第十三条、第十五条、第十八条、第十九条、第二十条、第二十一条、第二十七条、第二十八条第二款规</w:t>
      </w:r>
      <w:r>
        <w:rPr>
          <w:rFonts w:ascii="仿宋" w:eastAsia="仿宋" w:hAnsi="仿宋" w:hint="eastAsia"/>
          <w:color w:val="070707"/>
          <w:sz w:val="32"/>
          <w:szCs w:val="32"/>
        </w:rPr>
        <w:lastRenderedPageBreak/>
        <w:t>定的，由网信部门和电信、公安、市场监管等有关部门依据职责，按照有关法律、行政法规和部门规章的规定予以处理。</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第三十三条</w:t>
      </w:r>
      <w:r>
        <w:rPr>
          <w:rFonts w:ascii="黑体" w:eastAsia="黑体" w:hAnsi="黑体" w:hint="eastAsia"/>
          <w:color w:val="070707"/>
          <w:sz w:val="32"/>
          <w:szCs w:val="32"/>
        </w:rPr>
        <w:t xml:space="preserve"> </w:t>
      </w:r>
      <w:r>
        <w:rPr>
          <w:rFonts w:ascii="仿宋" w:eastAsia="仿宋" w:hAnsi="仿宋" w:hint="eastAsia"/>
          <w:color w:val="070707"/>
          <w:sz w:val="32"/>
          <w:szCs w:val="32"/>
        </w:rPr>
        <w:t>具有舆论属性或者社会动员能力的算法推荐服务提供者通过隐瞒有关情况、提供虚假材料等不正当手段取得备案的，由国家和省、自治区、直辖市网信部门予以撤销备案，给予警告、通报批评；情节严重的，责令暂停信息更新，并处一万元以上十万元以下罚款。</w:t>
      </w:r>
    </w:p>
    <w:p w:rsidR="00626BC4" w:rsidRDefault="00626BC4" w:rsidP="00626BC4">
      <w:pPr>
        <w:pStyle w:val="aa"/>
        <w:spacing w:before="0" w:beforeAutospacing="0" w:after="0" w:afterAutospacing="0"/>
        <w:ind w:firstLineChars="200" w:firstLine="640"/>
        <w:jc w:val="both"/>
        <w:rPr>
          <w:rFonts w:hint="eastAsia"/>
          <w:color w:val="070707"/>
        </w:rPr>
      </w:pPr>
      <w:r>
        <w:rPr>
          <w:rFonts w:ascii="仿宋" w:eastAsia="仿宋" w:hAnsi="仿宋" w:hint="eastAsia"/>
          <w:color w:val="070707"/>
          <w:sz w:val="32"/>
          <w:szCs w:val="32"/>
        </w:rPr>
        <w:t>具有舆论属性或者社会动员能力的算法推荐服务提供者终止服务未按照本规定第二十四条第三款要求办理注销备案手续，或者发生严重违法情形受到责令关闭网站、吊销相关业务许可证或者吊销营业执照等行政处罚的，由国家和省、自治区、直辖市网信部门予以注销备案。</w:t>
      </w:r>
    </w:p>
    <w:p w:rsidR="00626BC4" w:rsidRDefault="00626BC4" w:rsidP="00626BC4">
      <w:pPr>
        <w:pStyle w:val="aa"/>
        <w:spacing w:before="0" w:beforeAutospacing="0" w:after="0" w:afterAutospacing="0"/>
        <w:jc w:val="center"/>
        <w:rPr>
          <w:rFonts w:hint="eastAsia"/>
          <w:color w:val="070707"/>
        </w:rPr>
      </w:pPr>
      <w:r>
        <w:rPr>
          <w:rFonts w:ascii="黑体" w:eastAsia="黑体" w:hAnsi="黑体" w:hint="eastAsia"/>
          <w:color w:val="070707"/>
          <w:sz w:val="32"/>
          <w:szCs w:val="32"/>
        </w:rPr>
        <w:t>第六章</w:t>
      </w:r>
      <w:r>
        <w:rPr>
          <w:rFonts w:ascii="Calibri" w:eastAsia="黑体" w:hAnsi="Calibri" w:cs="Calibri"/>
          <w:color w:val="070707"/>
          <w:sz w:val="32"/>
          <w:szCs w:val="32"/>
        </w:rPr>
        <w:t> </w:t>
      </w:r>
      <w:r>
        <w:rPr>
          <w:rFonts w:ascii="黑体" w:eastAsia="黑体" w:hAnsi="黑体" w:hint="eastAsia"/>
          <w:color w:val="070707"/>
          <w:sz w:val="32"/>
          <w:szCs w:val="32"/>
        </w:rPr>
        <w:t>附则</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第三十四条</w:t>
      </w:r>
      <w:r>
        <w:rPr>
          <w:rFonts w:ascii="黑体" w:eastAsia="黑体" w:hAnsi="黑体" w:hint="eastAsia"/>
          <w:color w:val="070707"/>
          <w:sz w:val="32"/>
          <w:szCs w:val="32"/>
        </w:rPr>
        <w:t xml:space="preserve"> </w:t>
      </w:r>
      <w:r>
        <w:rPr>
          <w:rFonts w:ascii="仿宋" w:eastAsia="仿宋" w:hAnsi="仿宋" w:hint="eastAsia"/>
          <w:color w:val="070707"/>
          <w:sz w:val="32"/>
          <w:szCs w:val="32"/>
        </w:rPr>
        <w:t>本规定由国家互联网信息办公室会同工业和信息化部、公安部、国家市场监督管理总局负责解释。</w:t>
      </w:r>
    </w:p>
    <w:p w:rsidR="00626BC4" w:rsidRDefault="00626BC4" w:rsidP="00626BC4">
      <w:pPr>
        <w:pStyle w:val="aa"/>
        <w:spacing w:before="0" w:beforeAutospacing="0" w:after="0" w:afterAutospacing="0"/>
        <w:ind w:firstLineChars="200" w:firstLine="640"/>
        <w:jc w:val="both"/>
        <w:rPr>
          <w:rFonts w:hint="eastAsia"/>
          <w:color w:val="070707"/>
        </w:rPr>
      </w:pPr>
      <w:r>
        <w:rPr>
          <w:rFonts w:ascii="黑体" w:eastAsia="黑体" w:hAnsi="黑体" w:hint="eastAsia"/>
          <w:color w:val="070707"/>
          <w:sz w:val="32"/>
          <w:szCs w:val="32"/>
        </w:rPr>
        <w:t>第三十五条</w:t>
      </w:r>
      <w:r>
        <w:rPr>
          <w:rFonts w:ascii="黑体" w:eastAsia="黑体" w:hAnsi="黑体" w:hint="eastAsia"/>
          <w:color w:val="070707"/>
          <w:sz w:val="32"/>
          <w:szCs w:val="32"/>
        </w:rPr>
        <w:t xml:space="preserve"> </w:t>
      </w:r>
      <w:bookmarkStart w:id="0" w:name="_GoBack"/>
      <w:bookmarkEnd w:id="0"/>
      <w:r>
        <w:rPr>
          <w:rFonts w:ascii="仿宋" w:eastAsia="仿宋" w:hAnsi="仿宋" w:hint="eastAsia"/>
          <w:color w:val="070707"/>
          <w:sz w:val="32"/>
          <w:szCs w:val="32"/>
        </w:rPr>
        <w:t>本规定自2022年3月1日起施行。</w:t>
      </w:r>
    </w:p>
    <w:p w:rsidR="00384890" w:rsidRPr="00626BC4" w:rsidRDefault="00384890" w:rsidP="00626BC4">
      <w:pPr>
        <w:pStyle w:val="aa"/>
        <w:spacing w:before="0" w:beforeAutospacing="0" w:after="0" w:afterAutospacing="0"/>
        <w:ind w:firstLineChars="200" w:firstLine="480"/>
        <w:rPr>
          <w:rFonts w:ascii="Arial" w:hAnsi="Arial" w:cs="Arial"/>
          <w:color w:val="000000"/>
        </w:rPr>
      </w:pPr>
    </w:p>
    <w:sectPr w:rsidR="00384890" w:rsidRPr="00626BC4">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0410" w:rsidRDefault="006F0410">
      <w:r>
        <w:separator/>
      </w:r>
    </w:p>
  </w:endnote>
  <w:endnote w:type="continuationSeparator" w:id="0">
    <w:p w:rsidR="006F0410" w:rsidRDefault="006F0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auto"/>
    <w:pitch w:val="default"/>
    <w:sig w:usb0="00000000" w:usb1="0000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ind w:leftChars="2280" w:left="4788" w:firstLineChars="2000" w:firstLine="6400"/>
      <w:rPr>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26BC4">
                            <w:rPr>
                              <w:rFonts w:ascii="宋体" w:eastAsia="宋体" w:hAnsi="宋体" w:cs="宋体"/>
                              <w:noProof/>
                              <w:sz w:val="28"/>
                              <w:szCs w:val="28"/>
                            </w:rPr>
                            <w:t>- 9 -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26BC4">
                      <w:rPr>
                        <w:rFonts w:ascii="宋体" w:eastAsia="宋体" w:hAnsi="宋体" w:cs="宋体"/>
                        <w:noProof/>
                        <w:sz w:val="28"/>
                        <w:szCs w:val="28"/>
                      </w:rPr>
                      <w:t>- 9 -</w:t>
                    </w:r>
                    <w:r>
                      <w:rPr>
                        <w:rFonts w:ascii="宋体" w:eastAsia="宋体" w:hAnsi="宋体" w:cs="宋体" w:hint="eastAsia"/>
                        <w:sz w:val="28"/>
                        <w:szCs w:val="28"/>
                      </w:rPr>
                      <w:fldChar w:fldCharType="end"/>
                    </w:r>
                  </w:p>
                </w:txbxContent>
              </v:textbox>
              <w10:wrap anchorx="margin"/>
            </v:shape>
          </w:pict>
        </mc:Fallback>
      </mc:AlternateContent>
    </w:r>
  </w:p>
  <w:p w:rsidR="00384890" w:rsidRDefault="00680F38">
    <w:pPr>
      <w:pStyle w:val="a9"/>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12FDC5" id="直接连接符 7"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HMV7Cu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工业和信息化部发布</w:t>
    </w:r>
  </w:p>
  <w:p w:rsidR="00384890" w:rsidRDefault="00384890">
    <w:pPr>
      <w:pStyle w:val="a9"/>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0410" w:rsidRDefault="006F0410">
      <w:r>
        <w:separator/>
      </w:r>
    </w:p>
  </w:footnote>
  <w:footnote w:type="continuationSeparator" w:id="0">
    <w:p w:rsidR="006F0410" w:rsidRDefault="006F04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907DB3"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UW+AEAABY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j8+VF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384890" w:rsidRDefault="00680F38">
    <w:pPr>
      <w:pStyle w:val="a9"/>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51573"/>
    <w:rsid w:val="00172A27"/>
    <w:rsid w:val="002561BD"/>
    <w:rsid w:val="00384890"/>
    <w:rsid w:val="0042640A"/>
    <w:rsid w:val="00626BC4"/>
    <w:rsid w:val="00642011"/>
    <w:rsid w:val="00680F38"/>
    <w:rsid w:val="006E61D4"/>
    <w:rsid w:val="006F0410"/>
    <w:rsid w:val="00850B81"/>
    <w:rsid w:val="009D54E1"/>
    <w:rsid w:val="00A70FEF"/>
    <w:rsid w:val="00A8380E"/>
    <w:rsid w:val="00C63EA1"/>
    <w:rsid w:val="00CF4418"/>
    <w:rsid w:val="00D07279"/>
    <w:rsid w:val="00D9361C"/>
    <w:rsid w:val="00DF0B6F"/>
    <w:rsid w:val="00ED7DB0"/>
    <w:rsid w:val="00F7236E"/>
    <w:rsid w:val="019E71BD"/>
    <w:rsid w:val="037E5CA5"/>
    <w:rsid w:val="04244D3D"/>
    <w:rsid w:val="04B679C3"/>
    <w:rsid w:val="07CD0E47"/>
    <w:rsid w:val="080F63D8"/>
    <w:rsid w:val="08CE609D"/>
    <w:rsid w:val="08F4459D"/>
    <w:rsid w:val="09341458"/>
    <w:rsid w:val="0937357F"/>
    <w:rsid w:val="0B0912D7"/>
    <w:rsid w:val="0C6629E5"/>
    <w:rsid w:val="0F1B39B9"/>
    <w:rsid w:val="0FFE1614"/>
    <w:rsid w:val="12713FBA"/>
    <w:rsid w:val="12952011"/>
    <w:rsid w:val="12ED6D6E"/>
    <w:rsid w:val="152D2DCA"/>
    <w:rsid w:val="15BE2FB5"/>
    <w:rsid w:val="15E25CCC"/>
    <w:rsid w:val="17514A69"/>
    <w:rsid w:val="18146C66"/>
    <w:rsid w:val="18291E57"/>
    <w:rsid w:val="18620D4C"/>
    <w:rsid w:val="188C67FC"/>
    <w:rsid w:val="1B1061C0"/>
    <w:rsid w:val="1DCF4753"/>
    <w:rsid w:val="1DEC284C"/>
    <w:rsid w:val="1E6523AC"/>
    <w:rsid w:val="1F7B0CD2"/>
    <w:rsid w:val="200A3A07"/>
    <w:rsid w:val="20564B78"/>
    <w:rsid w:val="2110266F"/>
    <w:rsid w:val="21483EB2"/>
    <w:rsid w:val="22440422"/>
    <w:rsid w:val="22BA5800"/>
    <w:rsid w:val="230D7589"/>
    <w:rsid w:val="231A344E"/>
    <w:rsid w:val="23891923"/>
    <w:rsid w:val="239C0A3E"/>
    <w:rsid w:val="23C82865"/>
    <w:rsid w:val="26A35D90"/>
    <w:rsid w:val="29C2412E"/>
    <w:rsid w:val="2AAF4563"/>
    <w:rsid w:val="2B2C1EDD"/>
    <w:rsid w:val="2CE40145"/>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AB02FA5"/>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AE2EC5"/>
    <w:rsid w:val="53D8014D"/>
    <w:rsid w:val="55E064E0"/>
    <w:rsid w:val="56500CC9"/>
    <w:rsid w:val="572C6D10"/>
    <w:rsid w:val="57A23B52"/>
    <w:rsid w:val="59F04E62"/>
    <w:rsid w:val="5B29192F"/>
    <w:rsid w:val="5DC34279"/>
    <w:rsid w:val="5E155A14"/>
    <w:rsid w:val="608816D1"/>
    <w:rsid w:val="60EF4E7F"/>
    <w:rsid w:val="61397774"/>
    <w:rsid w:val="637C7398"/>
    <w:rsid w:val="64462423"/>
    <w:rsid w:val="64471D62"/>
    <w:rsid w:val="64EC6995"/>
    <w:rsid w:val="65FF2413"/>
    <w:rsid w:val="665233C1"/>
    <w:rsid w:val="672229B1"/>
    <w:rsid w:val="675C5A16"/>
    <w:rsid w:val="680E7120"/>
    <w:rsid w:val="68E329CB"/>
    <w:rsid w:val="6A955BDF"/>
    <w:rsid w:val="6AD9688B"/>
    <w:rsid w:val="6B114AC1"/>
    <w:rsid w:val="6BD91800"/>
    <w:rsid w:val="6D0E3F22"/>
    <w:rsid w:val="6D382796"/>
    <w:rsid w:val="6FA033C9"/>
    <w:rsid w:val="70A64EEF"/>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80058A"/>
  <w15:docId w15:val="{CF45F07F-A487-4A11-A3F1-17F9CB84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uiPriority="99" w:unhideWhenUsed="1"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5">
    <w:name w:val="heading 5"/>
    <w:basedOn w:val="a"/>
    <w:next w:val="a"/>
    <w:semiHidden/>
    <w:unhideWhenUsed/>
    <w:qFormat/>
    <w:pPr>
      <w:spacing w:beforeAutospacing="1" w:afterAutospacing="1"/>
      <w:jc w:val="left"/>
      <w:outlineLvl w:val="4"/>
    </w:pPr>
    <w:rPr>
      <w:rFonts w:ascii="宋体" w:eastAsia="宋体" w:hAnsi="宋体" w:cs="Times New Roman" w:hint="eastAsia"/>
      <w:b/>
      <w:bCs/>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rFonts w:ascii="仿宋_GB2312" w:eastAsia="仿宋_GB2312"/>
      <w:sz w:val="30"/>
    </w:rPr>
  </w:style>
  <w:style w:type="paragraph" w:styleId="a4">
    <w:name w:val="annotation text"/>
    <w:basedOn w:val="a"/>
    <w:qFormat/>
    <w:pPr>
      <w:jc w:val="left"/>
    </w:pPr>
  </w:style>
  <w:style w:type="paragraph" w:styleId="a5">
    <w:name w:val="Body Text Indent"/>
    <w:basedOn w:val="a"/>
    <w:uiPriority w:val="99"/>
    <w:unhideWhenUsed/>
    <w:qFormat/>
    <w:pPr>
      <w:spacing w:after="120"/>
      <w:ind w:leftChars="200" w:left="420"/>
    </w:pPr>
  </w:style>
  <w:style w:type="paragraph" w:styleId="a6">
    <w:name w:val="Balloon Text"/>
    <w:basedOn w:val="a"/>
    <w:link w:val="a7"/>
    <w:qFormat/>
    <w:rPr>
      <w:sz w:val="18"/>
      <w:szCs w:val="18"/>
    </w:rPr>
  </w:style>
  <w:style w:type="paragraph" w:styleId="a8">
    <w:name w:val="footer"/>
    <w:basedOn w:val="a"/>
    <w:next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20">
    <w:name w:val="Body Text First Indent 2"/>
    <w:basedOn w:val="a5"/>
    <w:uiPriority w:val="99"/>
    <w:unhideWhenUsed/>
    <w:qFormat/>
    <w:pPr>
      <w:ind w:firstLineChars="200" w:firstLine="420"/>
    </w:pPr>
  </w:style>
  <w:style w:type="table" w:styleId="ab">
    <w:name w:val="Table Grid"/>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qFormat/>
    <w:rPr>
      <w:b/>
    </w:rPr>
  </w:style>
  <w:style w:type="character" w:styleId="ad">
    <w:name w:val="page number"/>
    <w:basedOn w:val="a1"/>
    <w:uiPriority w:val="99"/>
    <w:unhideWhenUsed/>
    <w:qFormat/>
  </w:style>
  <w:style w:type="character" w:styleId="ae">
    <w:name w:val="Hyperlink"/>
    <w:basedOn w:val="a1"/>
    <w:qFormat/>
    <w:rPr>
      <w:color w:val="0000FF"/>
      <w:u w:val="single"/>
    </w:rPr>
  </w:style>
  <w:style w:type="character" w:styleId="af">
    <w:name w:val="annotation reference"/>
    <w:basedOn w:val="a1"/>
    <w:qFormat/>
    <w:rPr>
      <w:sz w:val="21"/>
      <w:szCs w:val="21"/>
    </w:rPr>
  </w:style>
  <w:style w:type="character" w:customStyle="1" w:styleId="a7">
    <w:name w:val="批注框文本 字符"/>
    <w:basedOn w:val="a1"/>
    <w:link w:val="a6"/>
    <w:qFormat/>
    <w:rPr>
      <w:rFonts w:asciiTheme="minorHAnsi" w:eastAsiaTheme="minorEastAsia" w:hAnsiTheme="minorHAnsi" w:cstheme="minorBidi"/>
      <w:kern w:val="2"/>
      <w:sz w:val="18"/>
      <w:szCs w:val="18"/>
    </w:rPr>
  </w:style>
  <w:style w:type="character" w:customStyle="1" w:styleId="apple-converted-space">
    <w:name w:val="apple-converted-space"/>
    <w:basedOn w:val="a1"/>
    <w:qFormat/>
  </w:style>
  <w:style w:type="paragraph" w:customStyle="1" w:styleId="Default">
    <w:name w:val="Default"/>
    <w:uiPriority w:val="99"/>
    <w:unhideWhenUsed/>
    <w:qFormat/>
    <w:pPr>
      <w:widowControl w:val="0"/>
      <w:autoSpaceDE w:val="0"/>
      <w:autoSpaceDN w:val="0"/>
      <w:adjustRightInd w:val="0"/>
    </w:pPr>
    <w:rPr>
      <w:rFonts w:ascii="黑体" w:eastAsia="黑体" w:hAnsi="黑体" w:hint="eastAsia"/>
      <w:color w:val="000000"/>
      <w:sz w:val="24"/>
      <w:szCs w:val="24"/>
    </w:rPr>
  </w:style>
  <w:style w:type="paragraph" w:customStyle="1" w:styleId="ListParagraph1">
    <w:name w:val="List Paragraph1"/>
    <w:basedOn w:val="a"/>
    <w:pPr>
      <w:ind w:firstLineChars="200" w:firstLine="420"/>
    </w:pPr>
  </w:style>
  <w:style w:type="paragraph" w:customStyle="1" w:styleId="10">
    <w:name w:val="列出段落1"/>
    <w:basedOn w:val="a"/>
    <w:qFormat/>
    <w:pPr>
      <w:ind w:firstLineChars="200" w:firstLine="420"/>
    </w:p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21">
    <w:name w:val="列出段落2"/>
    <w:basedOn w:val="a"/>
    <w:qFormat/>
    <w:pPr>
      <w:ind w:firstLineChars="200" w:firstLine="420"/>
    </w:pPr>
  </w:style>
  <w:style w:type="paragraph" w:customStyle="1" w:styleId="p0">
    <w:name w:val="p0"/>
    <w:basedOn w:val="a"/>
    <w:qFormat/>
    <w:pPr>
      <w:widowControl/>
      <w:spacing w:before="100" w:beforeAutospacing="1" w:after="100" w:afterAutospacing="1"/>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847255">
      <w:bodyDiv w:val="1"/>
      <w:marLeft w:val="0"/>
      <w:marRight w:val="0"/>
      <w:marTop w:val="0"/>
      <w:marBottom w:val="0"/>
      <w:divBdr>
        <w:top w:val="none" w:sz="0" w:space="0" w:color="auto"/>
        <w:left w:val="none" w:sz="0" w:space="0" w:color="auto"/>
        <w:bottom w:val="none" w:sz="0" w:space="0" w:color="auto"/>
        <w:right w:val="none" w:sz="0" w:space="0" w:color="auto"/>
      </w:divBdr>
    </w:div>
    <w:div w:id="230234732">
      <w:bodyDiv w:val="1"/>
      <w:marLeft w:val="0"/>
      <w:marRight w:val="0"/>
      <w:marTop w:val="0"/>
      <w:marBottom w:val="0"/>
      <w:divBdr>
        <w:top w:val="none" w:sz="0" w:space="0" w:color="auto"/>
        <w:left w:val="none" w:sz="0" w:space="0" w:color="auto"/>
        <w:bottom w:val="none" w:sz="0" w:space="0" w:color="auto"/>
        <w:right w:val="none" w:sz="0" w:space="0" w:color="auto"/>
      </w:divBdr>
    </w:div>
    <w:div w:id="1101799692">
      <w:bodyDiv w:val="1"/>
      <w:marLeft w:val="0"/>
      <w:marRight w:val="0"/>
      <w:marTop w:val="0"/>
      <w:marBottom w:val="0"/>
      <w:divBdr>
        <w:top w:val="none" w:sz="0" w:space="0" w:color="auto"/>
        <w:left w:val="none" w:sz="0" w:space="0" w:color="auto"/>
        <w:bottom w:val="none" w:sz="0" w:space="0" w:color="auto"/>
        <w:right w:val="none" w:sz="0" w:space="0" w:color="auto"/>
      </w:divBdr>
    </w:div>
    <w:div w:id="1188562710">
      <w:bodyDiv w:val="1"/>
      <w:marLeft w:val="0"/>
      <w:marRight w:val="0"/>
      <w:marTop w:val="0"/>
      <w:marBottom w:val="0"/>
      <w:divBdr>
        <w:top w:val="none" w:sz="0" w:space="0" w:color="auto"/>
        <w:left w:val="none" w:sz="0" w:space="0" w:color="auto"/>
        <w:bottom w:val="none" w:sz="0" w:space="0" w:color="auto"/>
        <w:right w:val="none" w:sz="0" w:space="0" w:color="auto"/>
      </w:divBdr>
    </w:div>
    <w:div w:id="1704164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10</Pages>
  <Words>628</Words>
  <Characters>3580</Characters>
  <Application>Microsoft Office Word</Application>
  <DocSecurity>0</DocSecurity>
  <Lines>29</Lines>
  <Paragraphs>8</Paragraphs>
  <ScaleCrop>false</ScaleCrop>
  <Company>miit</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441</cp:lastModifiedBy>
  <cp:revision>10</cp:revision>
  <cp:lastPrinted>2023-06-15T08:31:00Z</cp:lastPrinted>
  <dcterms:created xsi:type="dcterms:W3CDTF">2021-09-09T02:41:00Z</dcterms:created>
  <dcterms:modified xsi:type="dcterms:W3CDTF">2023-06-15T08:52:00Z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