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0" w:name="_Toc28417"/>
      <w:bookmarkStart w:id="1" w:name="_Toc36212235"/>
      <w:bookmarkStart w:id="2" w:name="_Toc30310"/>
      <w:bookmarkStart w:id="3" w:name="_Toc28374"/>
      <w:bookmarkStart w:id="4" w:name="_Toc64898472"/>
      <w:r>
        <w:rPr>
          <w:rFonts w:eastAsia="黑体"/>
          <w:color w:val="000000"/>
          <w:kern w:val="0"/>
          <w:sz w:val="32"/>
          <w:szCs w:val="32"/>
        </w:rPr>
        <w:t>《</w:t>
      </w:r>
      <w:r>
        <w:rPr>
          <w:rFonts w:hint="eastAsia" w:eastAsia="黑体"/>
          <w:color w:val="000000"/>
          <w:kern w:val="0"/>
          <w:sz w:val="32"/>
          <w:szCs w:val="32"/>
        </w:rPr>
        <w:t>机动车回复反射装置</w:t>
      </w:r>
      <w:r>
        <w:rPr>
          <w:rFonts w:eastAsia="黑体"/>
          <w:color w:val="000000"/>
          <w:kern w:val="0"/>
          <w:sz w:val="32"/>
          <w:szCs w:val="32"/>
        </w:rPr>
        <w:t>》</w:t>
      </w:r>
      <w:bookmarkEnd w:id="0"/>
      <w:bookmarkEnd w:id="1"/>
      <w:bookmarkEnd w:id="2"/>
      <w:bookmarkEnd w:id="3"/>
      <w:bookmarkEnd w:id="4"/>
      <w:bookmarkStart w:id="5" w:name="_Toc4815"/>
      <w:bookmarkStart w:id="6" w:name="_Toc14803"/>
      <w:bookmarkStart w:id="7" w:name="_Toc21854"/>
      <w:bookmarkStart w:id="8" w:name="_Toc36212236"/>
      <w:bookmarkStart w:id="9" w:name="_Toc64898473"/>
      <w:r>
        <w:rPr>
          <w:rFonts w:eastAsia="黑体"/>
          <w:color w:val="000000"/>
          <w:kern w:val="0"/>
          <w:sz w:val="32"/>
          <w:szCs w:val="32"/>
        </w:rPr>
        <w:t>（</w:t>
      </w:r>
      <w:r>
        <w:rPr>
          <w:rFonts w:hint="eastAsia" w:eastAsia="黑体"/>
          <w:color w:val="000000"/>
          <w:kern w:val="0"/>
          <w:sz w:val="32"/>
          <w:szCs w:val="32"/>
        </w:rPr>
        <w:t>征求意见稿</w:t>
      </w:r>
      <w:r>
        <w:rPr>
          <w:rFonts w:eastAsia="黑体"/>
          <w:color w:val="000000"/>
          <w:kern w:val="0"/>
          <w:sz w:val="32"/>
          <w:szCs w:val="32"/>
        </w:rPr>
        <w:t>）</w:t>
      </w:r>
      <w:bookmarkEnd w:id="5"/>
      <w:bookmarkEnd w:id="6"/>
      <w:bookmarkEnd w:id="7"/>
      <w:bookmarkEnd w:id="8"/>
      <w:bookmarkEnd w:id="9"/>
    </w:p>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10" w:name="_Toc31546"/>
      <w:bookmarkStart w:id="11" w:name="_Toc36212237"/>
      <w:bookmarkStart w:id="12" w:name="_Toc64898474"/>
      <w:bookmarkStart w:id="13" w:name="_Toc8137"/>
      <w:bookmarkStart w:id="14" w:name="_Toc30226"/>
      <w:r>
        <w:rPr>
          <w:rFonts w:hint="eastAsia" w:eastAsia="黑体"/>
          <w:color w:val="000000"/>
          <w:kern w:val="0"/>
          <w:sz w:val="32"/>
          <w:szCs w:val="32"/>
        </w:rPr>
        <w:t>编制说明</w:t>
      </w:r>
      <w:bookmarkEnd w:id="10"/>
      <w:bookmarkEnd w:id="11"/>
      <w:bookmarkEnd w:id="12"/>
      <w:bookmarkEnd w:id="13"/>
      <w:bookmarkEnd w:id="14"/>
    </w:p>
    <w:p>
      <w:pPr>
        <w:autoSpaceDE w:val="0"/>
        <w:autoSpaceDN w:val="0"/>
        <w:adjustRightInd w:val="0"/>
        <w:spacing w:line="400" w:lineRule="exact"/>
        <w:ind w:firstLine="0" w:firstLineChars="0"/>
        <w:jc w:val="center"/>
        <w:outlineLvl w:val="0"/>
        <w:rPr>
          <w:rFonts w:eastAsia="黑体"/>
          <w:color w:val="000000"/>
          <w:kern w:val="0"/>
          <w:sz w:val="32"/>
          <w:szCs w:val="32"/>
        </w:rPr>
      </w:pPr>
    </w:p>
    <w:p>
      <w:pPr>
        <w:autoSpaceDE w:val="0"/>
        <w:autoSpaceDN w:val="0"/>
        <w:adjustRightInd w:val="0"/>
        <w:spacing w:line="400" w:lineRule="exact"/>
        <w:ind w:firstLine="480"/>
        <w:jc w:val="left"/>
        <w:outlineLvl w:val="0"/>
        <w:rPr>
          <w:rFonts w:eastAsia="黑体"/>
          <w:bCs/>
          <w:color w:val="000000"/>
          <w:kern w:val="0"/>
          <w:sz w:val="24"/>
        </w:rPr>
      </w:pPr>
      <w:bookmarkStart w:id="15" w:name="_Toc733"/>
      <w:bookmarkStart w:id="16" w:name="_Toc64898475"/>
      <w:bookmarkStart w:id="17" w:name="_Toc7124"/>
      <w:bookmarkStart w:id="18" w:name="_Toc36212238"/>
      <w:bookmarkStart w:id="19" w:name="_Hlk64896381"/>
      <w:r>
        <w:rPr>
          <w:rFonts w:hint="eastAsia" w:eastAsia="黑体"/>
          <w:bCs/>
          <w:color w:val="000000"/>
          <w:kern w:val="0"/>
          <w:sz w:val="24"/>
        </w:rPr>
        <w:t>一、工作简况</w:t>
      </w:r>
      <w:bookmarkEnd w:id="15"/>
      <w:bookmarkEnd w:id="16"/>
      <w:bookmarkEnd w:id="17"/>
      <w:bookmarkEnd w:id="18"/>
    </w:p>
    <w:p>
      <w:pPr>
        <w:autoSpaceDE w:val="0"/>
        <w:autoSpaceDN w:val="0"/>
        <w:adjustRightInd w:val="0"/>
        <w:spacing w:line="400" w:lineRule="exact"/>
        <w:ind w:firstLine="422"/>
        <w:jc w:val="left"/>
        <w:outlineLvl w:val="0"/>
        <w:rPr>
          <w:b/>
          <w:szCs w:val="21"/>
        </w:rPr>
      </w:pPr>
      <w:r>
        <w:rPr>
          <w:rFonts w:hint="eastAsia"/>
          <w:b/>
          <w:szCs w:val="21"/>
        </w:rPr>
        <w:t>（一）</w:t>
      </w:r>
      <w:r>
        <w:rPr>
          <w:b/>
          <w:szCs w:val="21"/>
        </w:rPr>
        <w:t>任务来源</w:t>
      </w:r>
    </w:p>
    <w:p>
      <w:pPr>
        <w:spacing w:line="400" w:lineRule="exact"/>
        <w:ind w:firstLine="420"/>
        <w:rPr>
          <w:szCs w:val="21"/>
        </w:rPr>
      </w:pPr>
      <w:r>
        <w:rPr>
          <w:szCs w:val="21"/>
        </w:rPr>
        <w:t>本标准根据国家标准化管理委员会关于下达《轿车轮胎》等44项强制性国家标准制修订计划的通知（国标委发〔2019〕14号）</w:t>
      </w:r>
      <w:r>
        <w:rPr>
          <w:rFonts w:hint="eastAsia"/>
          <w:szCs w:val="21"/>
        </w:rPr>
        <w:t>，</w:t>
      </w:r>
      <w:r>
        <w:rPr>
          <w:szCs w:val="21"/>
        </w:rPr>
        <w:t>项目计划编号为20190052-Q-339，归口单位为工业和信息化部，项目名称为《机动车和挂车回复反射装置》。2.标准起草人员</w:t>
      </w:r>
    </w:p>
    <w:p>
      <w:pPr>
        <w:autoSpaceDE w:val="0"/>
        <w:autoSpaceDN w:val="0"/>
        <w:adjustRightInd w:val="0"/>
        <w:spacing w:line="400" w:lineRule="exact"/>
        <w:ind w:firstLine="422"/>
        <w:jc w:val="left"/>
        <w:outlineLvl w:val="0"/>
        <w:rPr>
          <w:b/>
          <w:szCs w:val="21"/>
        </w:rPr>
      </w:pPr>
      <w:r>
        <w:rPr>
          <w:rFonts w:hint="eastAsia"/>
          <w:b/>
          <w:szCs w:val="21"/>
        </w:rPr>
        <w:t>（二）主要起草</w:t>
      </w:r>
      <w:r>
        <w:rPr>
          <w:b/>
          <w:szCs w:val="21"/>
        </w:rPr>
        <w:t>过程</w:t>
      </w:r>
    </w:p>
    <w:p>
      <w:pPr>
        <w:autoSpaceDE w:val="0"/>
        <w:autoSpaceDN w:val="0"/>
        <w:adjustRightInd w:val="0"/>
        <w:spacing w:line="400" w:lineRule="exact"/>
        <w:ind w:firstLine="420"/>
        <w:jc w:val="left"/>
        <w:outlineLvl w:val="0"/>
        <w:rPr>
          <w:rFonts w:ascii="宋体" w:hAnsi="宋体"/>
          <w:color w:val="000000" w:themeColor="text1"/>
          <w:szCs w:val="21"/>
          <w14:textFill>
            <w14:solidFill>
              <w14:schemeClr w14:val="tx1"/>
            </w14:solidFill>
          </w14:textFill>
        </w:rPr>
      </w:pPr>
      <w:r>
        <w:rPr>
          <w:szCs w:val="21"/>
        </w:rPr>
        <w:t>2017年工业和信息化部科技司关于做好强制性标准（含计划）整合精简结论后续落实工作的通知（工科函〔2017〕464号），启动了汽车行业强制性国家标准的精简整合</w:t>
      </w:r>
      <w:r>
        <w:rPr>
          <w:rFonts w:hint="eastAsia"/>
          <w:szCs w:val="21"/>
        </w:rPr>
        <w:t>申报</w:t>
      </w:r>
      <w:r>
        <w:rPr>
          <w:szCs w:val="21"/>
        </w:rPr>
        <w:t>工作</w:t>
      </w:r>
      <w:r>
        <w:rPr>
          <w:rFonts w:hint="eastAsia"/>
          <w:szCs w:val="21"/>
        </w:rPr>
        <w:t>，</w:t>
      </w:r>
      <w:r>
        <w:rPr>
          <w:szCs w:val="21"/>
        </w:rPr>
        <w:t>其中涉及到机动车回复反射装置的强制性国家标准包括了《机动车回复反射器》（GB 11564）、《机动车用三角警告牌》（GB 19151）、《货车及挂车 车身反光标识》（GB 23254）、《车辆尾部标志板》（GB 25990）共四项。2019年4月</w:t>
      </w:r>
      <w:r>
        <w:rPr>
          <w:rFonts w:hint="eastAsia"/>
          <w:szCs w:val="21"/>
        </w:rPr>
        <w:t>，</w:t>
      </w:r>
      <w:r>
        <w:rPr>
          <w:rFonts w:hint="eastAsia" w:ascii="宋体" w:hAnsi="宋体"/>
          <w:color w:val="000000" w:themeColor="text1"/>
          <w:szCs w:val="21"/>
          <w14:textFill>
            <w14:solidFill>
              <w14:schemeClr w14:val="tx1"/>
            </w14:solidFill>
          </w14:textFill>
        </w:rPr>
        <w:t>国家标准化委员会正式下达了标准项目修订任务计划，计划号20190052-Q-339，由</w:t>
      </w:r>
      <w:r>
        <w:rPr>
          <w:rFonts w:ascii="宋体" w:hAnsi="宋体"/>
          <w:color w:val="000000" w:themeColor="text1"/>
          <w:szCs w:val="21"/>
          <w14:textFill>
            <w14:solidFill>
              <w14:schemeClr w14:val="tx1"/>
            </w14:solidFill>
          </w14:textFill>
        </w:rPr>
        <w:t>公安部交</w:t>
      </w:r>
      <w:r>
        <w:rPr>
          <w:szCs w:val="21"/>
        </w:rPr>
        <w:t>通管理科学研究所牵头</w:t>
      </w:r>
      <w:r>
        <w:rPr>
          <w:rFonts w:hint="eastAsia"/>
          <w:szCs w:val="21"/>
        </w:rPr>
        <w:t>成立的标准</w:t>
      </w:r>
      <w:r>
        <w:rPr>
          <w:szCs w:val="21"/>
        </w:rPr>
        <w:t>起草</w:t>
      </w:r>
      <w:r>
        <w:rPr>
          <w:rFonts w:hint="eastAsia"/>
          <w:szCs w:val="21"/>
        </w:rPr>
        <w:t>项目组</w:t>
      </w:r>
      <w:r>
        <w:rPr>
          <w:szCs w:val="21"/>
        </w:rPr>
        <w:t>。</w:t>
      </w:r>
      <w:r>
        <w:rPr>
          <w:rFonts w:hint="eastAsia" w:ascii="宋体" w:hAnsi="宋体"/>
          <w:color w:val="000000" w:themeColor="text1"/>
          <w:szCs w:val="21"/>
          <w14:textFill>
            <w14:solidFill>
              <w14:schemeClr w14:val="tx1"/>
            </w14:solidFill>
          </w14:textFill>
        </w:rPr>
        <w:t>组建原则综合考虑到标准技术的先进性、可操作性和适用性，所以主要</w:t>
      </w:r>
      <w:r>
        <w:rPr>
          <w:rFonts w:hint="eastAsia"/>
          <w:szCs w:val="21"/>
        </w:rPr>
        <w:t>相关检测机构、生产企业、整车企业和研究机构</w:t>
      </w:r>
      <w:r>
        <w:rPr>
          <w:rFonts w:hint="eastAsia" w:ascii="宋体" w:hAnsi="宋体"/>
          <w:color w:val="000000" w:themeColor="text1"/>
          <w:szCs w:val="21"/>
          <w14:textFill>
            <w14:solidFill>
              <w14:schemeClr w14:val="tx1"/>
            </w14:solidFill>
          </w14:textFill>
        </w:rPr>
        <w:t>共同参加修订。</w:t>
      </w:r>
    </w:p>
    <w:p>
      <w:pPr>
        <w:autoSpaceDE w:val="0"/>
        <w:autoSpaceDN w:val="0"/>
        <w:adjustRightInd w:val="0"/>
        <w:spacing w:line="400" w:lineRule="exact"/>
        <w:ind w:firstLine="420"/>
        <w:jc w:val="left"/>
        <w:outlineLvl w:val="0"/>
        <w:rPr>
          <w:szCs w:val="21"/>
        </w:rPr>
      </w:pPr>
      <w:r>
        <w:rPr>
          <w:rFonts w:hint="eastAsia" w:ascii="宋体" w:hAnsi="宋体"/>
        </w:rPr>
        <w:t>2</w:t>
      </w:r>
      <w:r>
        <w:rPr>
          <w:rFonts w:ascii="宋体" w:hAnsi="宋体"/>
        </w:rPr>
        <w:t>019</w:t>
      </w:r>
      <w:r>
        <w:rPr>
          <w:rFonts w:hint="eastAsia" w:ascii="宋体" w:hAnsi="宋体"/>
        </w:rPr>
        <w:t>年9月，标准</w:t>
      </w:r>
      <w:r>
        <w:rPr>
          <w:rFonts w:hint="eastAsia"/>
          <w:szCs w:val="21"/>
        </w:rPr>
        <w:t>起草工作组天津召开项目启动首次会议，会议讨论了标准修订原则、结构框架，落实标准修订具体计划、工作内容、责任单位、时间节点。</w:t>
      </w:r>
    </w:p>
    <w:p>
      <w:pPr>
        <w:autoSpaceDE w:val="0"/>
        <w:autoSpaceDN w:val="0"/>
        <w:adjustRightInd w:val="0"/>
        <w:spacing w:line="400" w:lineRule="exact"/>
        <w:ind w:firstLine="420"/>
        <w:jc w:val="left"/>
        <w:outlineLvl w:val="0"/>
        <w:rPr>
          <w:szCs w:val="21"/>
        </w:rPr>
      </w:pPr>
      <w:r>
        <w:rPr>
          <w:rFonts w:hint="eastAsia" w:ascii="宋体" w:hAnsi="宋体"/>
        </w:rPr>
        <w:t>2</w:t>
      </w:r>
      <w:r>
        <w:rPr>
          <w:rFonts w:ascii="宋体" w:hAnsi="宋体"/>
        </w:rPr>
        <w:t>019</w:t>
      </w:r>
      <w:r>
        <w:rPr>
          <w:rFonts w:hint="eastAsia" w:ascii="宋体" w:hAnsi="宋体"/>
        </w:rPr>
        <w:t>年</w:t>
      </w:r>
      <w:r>
        <w:rPr>
          <w:rFonts w:ascii="宋体" w:hAnsi="宋体"/>
        </w:rPr>
        <w:t>12</w:t>
      </w:r>
      <w:r>
        <w:rPr>
          <w:rFonts w:hint="eastAsia" w:ascii="宋体" w:hAnsi="宋体"/>
        </w:rPr>
        <w:t>月，标准</w:t>
      </w:r>
      <w:r>
        <w:rPr>
          <w:rFonts w:hint="eastAsia"/>
          <w:szCs w:val="21"/>
        </w:rPr>
        <w:t>起草工作组在成都召开会议，会上介绍了标准当前的草案文本，并和参会的灯具企业、光源企业和整车企业对文本进行了讨论。</w:t>
      </w:r>
    </w:p>
    <w:p>
      <w:pPr>
        <w:autoSpaceDE w:val="0"/>
        <w:autoSpaceDN w:val="0"/>
        <w:adjustRightInd w:val="0"/>
        <w:spacing w:line="400" w:lineRule="exact"/>
        <w:ind w:firstLine="420"/>
        <w:jc w:val="left"/>
        <w:outlineLvl w:val="0"/>
        <w:rPr>
          <w:szCs w:val="21"/>
        </w:rPr>
      </w:pPr>
      <w:r>
        <w:rPr>
          <w:rFonts w:hint="eastAsia"/>
          <w:szCs w:val="21"/>
        </w:rPr>
        <w:t>2020年7月，标准起草组通过网络召开了标准研讨会，与会代表仔细地对“工作组讨论稿”进行了讨论、推敲,对具体条款提出了相应的修改意见。</w:t>
      </w:r>
    </w:p>
    <w:p>
      <w:pPr>
        <w:autoSpaceDE w:val="0"/>
        <w:autoSpaceDN w:val="0"/>
        <w:adjustRightInd w:val="0"/>
        <w:spacing w:line="400" w:lineRule="exact"/>
        <w:ind w:firstLine="420"/>
        <w:jc w:val="left"/>
        <w:outlineLvl w:val="0"/>
        <w:rPr>
          <w:szCs w:val="21"/>
        </w:rPr>
      </w:pPr>
      <w:r>
        <w:rPr>
          <w:rFonts w:hint="eastAsia"/>
          <w:szCs w:val="21"/>
        </w:rPr>
        <w:t>2021年</w:t>
      </w:r>
      <w:r>
        <w:rPr>
          <w:szCs w:val="21"/>
        </w:rPr>
        <w:t>5</w:t>
      </w:r>
      <w:r>
        <w:rPr>
          <w:rFonts w:hint="eastAsia"/>
          <w:szCs w:val="21"/>
        </w:rPr>
        <w:t>月，标准起草组在天津召开标准研讨会，与会代表对完善的“工作组讨论稿”再次进行讨论、推敲，会议达成如下事项：</w:t>
      </w:r>
      <w:r>
        <w:rPr>
          <w:rFonts w:hint="eastAsia" w:ascii="宋体" w:hAnsi="宋体"/>
          <w:color w:val="000000" w:themeColor="text1"/>
          <w:szCs w:val="21"/>
          <w14:textFill>
            <w14:solidFill>
              <w14:schemeClr w14:val="tx1"/>
            </w14:solidFill>
          </w14:textFill>
        </w:rPr>
        <w:t>讨论完善后形成标准“征求意见稿”；</w:t>
      </w:r>
      <w:r>
        <w:rPr>
          <w:rFonts w:hint="eastAsia"/>
          <w:szCs w:val="21"/>
        </w:rPr>
        <w:t>“征求意见稿”经标委会审核通过后进行公开征求意见。</w:t>
      </w:r>
    </w:p>
    <w:p>
      <w:pPr>
        <w:autoSpaceDE w:val="0"/>
        <w:autoSpaceDN w:val="0"/>
        <w:adjustRightInd w:val="0"/>
        <w:spacing w:line="400" w:lineRule="exact"/>
        <w:ind w:firstLine="480"/>
        <w:jc w:val="left"/>
        <w:outlineLvl w:val="0"/>
        <w:rPr>
          <w:rFonts w:eastAsia="黑体"/>
          <w:bCs/>
          <w:color w:val="000000"/>
          <w:kern w:val="0"/>
          <w:sz w:val="24"/>
        </w:rPr>
      </w:pPr>
      <w:bookmarkStart w:id="20" w:name="_Toc64898476"/>
      <w:r>
        <w:rPr>
          <w:rFonts w:hint="eastAsia" w:eastAsia="黑体"/>
          <w:bCs/>
          <w:color w:val="000000"/>
          <w:kern w:val="0"/>
          <w:sz w:val="24"/>
        </w:rPr>
        <w:t>二、编制原则、强制性国家标准主要技术要求的依据及理由</w:t>
      </w:r>
      <w:bookmarkEnd w:id="20"/>
    </w:p>
    <w:p>
      <w:pPr>
        <w:autoSpaceDE w:val="0"/>
        <w:autoSpaceDN w:val="0"/>
        <w:adjustRightInd w:val="0"/>
        <w:spacing w:line="400" w:lineRule="exact"/>
        <w:ind w:firstLine="422"/>
        <w:jc w:val="left"/>
        <w:outlineLvl w:val="0"/>
        <w:rPr>
          <w:b/>
          <w:szCs w:val="21"/>
        </w:rPr>
      </w:pPr>
      <w:r>
        <w:rPr>
          <w:rFonts w:hint="eastAsia"/>
          <w:b/>
          <w:szCs w:val="21"/>
        </w:rPr>
        <w:t>（一）</w:t>
      </w:r>
      <w:r>
        <w:rPr>
          <w:b/>
          <w:szCs w:val="21"/>
        </w:rPr>
        <w:t>编制原则</w:t>
      </w:r>
    </w:p>
    <w:p>
      <w:pPr>
        <w:spacing w:line="400" w:lineRule="exact"/>
        <w:ind w:firstLine="420" w:firstLineChars="0"/>
        <w:rPr>
          <w:szCs w:val="21"/>
        </w:rPr>
      </w:pPr>
      <w:r>
        <w:rPr>
          <w:szCs w:val="21"/>
        </w:rPr>
        <w:t>1、规范性原则。本文件的在编写过程中按照GB/T 1.1—2020《标准化工作导则  第1部分：标准化文件的结构和起草规则》和GB/T 20001.10-2014《标准编写规范 第10部分 产品标准》等相关标准给出的规则起草；</w:t>
      </w:r>
    </w:p>
    <w:p>
      <w:pPr>
        <w:spacing w:line="400" w:lineRule="exact"/>
        <w:ind w:firstLine="420" w:firstLineChars="0"/>
        <w:rPr>
          <w:szCs w:val="21"/>
        </w:rPr>
      </w:pPr>
      <w:r>
        <w:rPr>
          <w:szCs w:val="21"/>
        </w:rPr>
        <w:t>2、科学性原则。本文件在编写过程中，贯彻《标准化法》等相关法律法规，充分考虑了行业内相关领域的现行标准，在深入调研的基础上，吸收和听取汽车主机厂、</w:t>
      </w:r>
      <w:r>
        <w:rPr>
          <w:rFonts w:hint="eastAsia"/>
          <w:szCs w:val="21"/>
        </w:rPr>
        <w:t>相关产品</w:t>
      </w:r>
      <w:r>
        <w:rPr>
          <w:szCs w:val="21"/>
        </w:rPr>
        <w:t>生产企业和检测机构的意见和建议，标准的技术指标充分调研了国内、国际标准法规的要求，标准的关键项目和关键指标均有参考来源或经过试验验证及专家论证。</w:t>
      </w:r>
    </w:p>
    <w:p>
      <w:pPr>
        <w:spacing w:line="400" w:lineRule="exact"/>
        <w:ind w:firstLine="420" w:firstLineChars="0"/>
        <w:rPr>
          <w:szCs w:val="21"/>
        </w:rPr>
      </w:pPr>
      <w:r>
        <w:rPr>
          <w:szCs w:val="21"/>
        </w:rPr>
        <w:t>3、协调性原则。本文件的在编写过程中充分贯彻《标准化法》、中华人民共和国工业和信息化部令第50号《道路机动车辆生产企业及产品准入管理办法》和中华人民共和国工业和信息化部公告2019年第1号《道路机动车辆生产企业准入审查要求和道路机动车辆产品准入审查要求》</w:t>
      </w:r>
      <w:r>
        <w:rPr>
          <w:rFonts w:hint="eastAsia"/>
          <w:szCs w:val="21"/>
        </w:rPr>
        <w:t>以及</w:t>
      </w:r>
      <w:r>
        <w:rPr>
          <w:szCs w:val="21"/>
        </w:rPr>
        <w:t>《</w:t>
      </w:r>
      <w:r>
        <w:rPr>
          <w:rFonts w:hint="eastAsia"/>
          <w:szCs w:val="21"/>
        </w:rPr>
        <w:t>机动车运行</w:t>
      </w:r>
      <w:r>
        <w:rPr>
          <w:szCs w:val="21"/>
        </w:rPr>
        <w:t>安全技术条件》</w:t>
      </w:r>
      <w:r>
        <w:rPr>
          <w:rFonts w:hint="eastAsia"/>
          <w:szCs w:val="21"/>
        </w:rPr>
        <w:t>（GB 7258）</w:t>
      </w:r>
      <w:r>
        <w:rPr>
          <w:szCs w:val="21"/>
        </w:rPr>
        <w:t>的要求，同时积极参考UN Regulation No.150法规的要求。</w:t>
      </w:r>
    </w:p>
    <w:p>
      <w:pPr>
        <w:spacing w:line="400" w:lineRule="exact"/>
        <w:ind w:firstLine="420" w:firstLineChars="0"/>
        <w:rPr>
          <w:szCs w:val="21"/>
        </w:rPr>
      </w:pPr>
      <w:r>
        <w:rPr>
          <w:szCs w:val="21"/>
        </w:rPr>
        <w:t>4、广泛性原则。本文件在编写过程广泛考虑了各种前照明灯具类型产品的要求和业内的试验方法，标准的适用范围具有相当的广泛性，在确保满足准确度要求和科学合理的前提下，充分考虑我国产业发展的现状。</w:t>
      </w:r>
    </w:p>
    <w:p>
      <w:pPr>
        <w:autoSpaceDE w:val="0"/>
        <w:autoSpaceDN w:val="0"/>
        <w:adjustRightInd w:val="0"/>
        <w:spacing w:line="400" w:lineRule="exact"/>
        <w:ind w:firstLine="422"/>
        <w:jc w:val="left"/>
        <w:outlineLvl w:val="0"/>
        <w:rPr>
          <w:b/>
          <w:szCs w:val="21"/>
        </w:rPr>
      </w:pPr>
      <w:r>
        <w:rPr>
          <w:b/>
          <w:szCs w:val="21"/>
        </w:rPr>
        <w:t>（</w:t>
      </w:r>
      <w:r>
        <w:rPr>
          <w:rFonts w:hint="eastAsia"/>
          <w:b/>
          <w:szCs w:val="21"/>
        </w:rPr>
        <w:t>二</w:t>
      </w:r>
      <w:r>
        <w:rPr>
          <w:b/>
          <w:szCs w:val="21"/>
        </w:rPr>
        <w:t>）主要修订技术内容的确定和依据</w:t>
      </w:r>
    </w:p>
    <w:p>
      <w:pPr>
        <w:adjustRightInd w:val="0"/>
        <w:snapToGrid w:val="0"/>
        <w:spacing w:line="400" w:lineRule="exact"/>
        <w:ind w:firstLine="420"/>
        <w:rPr>
          <w:szCs w:val="21"/>
        </w:rPr>
      </w:pPr>
      <w:r>
        <w:rPr>
          <w:rFonts w:hint="eastAsia"/>
          <w:szCs w:val="21"/>
        </w:rPr>
        <w:t>1、关于“标准名称”（第1章）</w:t>
      </w:r>
    </w:p>
    <w:p>
      <w:pPr>
        <w:spacing w:line="400" w:lineRule="exact"/>
        <w:ind w:firstLine="420" w:firstLineChars="0"/>
        <w:rPr>
          <w:szCs w:val="21"/>
        </w:rPr>
      </w:pPr>
      <w:r>
        <w:rPr>
          <w:rFonts w:hint="eastAsia"/>
          <w:szCs w:val="21"/>
        </w:rPr>
        <w:t>由于</w:t>
      </w:r>
      <w:r>
        <w:rPr>
          <w:szCs w:val="21"/>
        </w:rPr>
        <w:t>本标准</w:t>
      </w:r>
      <w:r>
        <w:rPr>
          <w:rFonts w:hint="eastAsia"/>
          <w:szCs w:val="21"/>
        </w:rPr>
        <w:t>规定</w:t>
      </w:r>
      <w:r>
        <w:rPr>
          <w:szCs w:val="21"/>
        </w:rPr>
        <w:t>了</w:t>
      </w:r>
      <w:r>
        <w:rPr>
          <w:rFonts w:hint="eastAsia"/>
          <w:szCs w:val="21"/>
        </w:rPr>
        <w:t>机动车回复反射器（以下简称反射器）、车身反光标识（以下简称反光标识）、车辆尾部标志板（以下简称标志板）、机动车用三角警告牌（以下简称三角牌）的</w:t>
      </w:r>
      <w:r>
        <w:rPr>
          <w:szCs w:val="21"/>
        </w:rPr>
        <w:t>技术要求、试验方法、检验规则等</w:t>
      </w:r>
      <w:r>
        <w:rPr>
          <w:rFonts w:hint="eastAsia"/>
          <w:szCs w:val="21"/>
        </w:rPr>
        <w:t>，因此标准</w:t>
      </w:r>
      <w:r>
        <w:rPr>
          <w:szCs w:val="21"/>
        </w:rPr>
        <w:t>名称更改</w:t>
      </w:r>
      <w:r>
        <w:rPr>
          <w:rFonts w:hint="eastAsia"/>
          <w:szCs w:val="21"/>
        </w:rPr>
        <w:t>为“机动车</w:t>
      </w:r>
      <w:r>
        <w:rPr>
          <w:szCs w:val="21"/>
        </w:rPr>
        <w:t>回复反射装置</w:t>
      </w:r>
      <w:r>
        <w:rPr>
          <w:rFonts w:hint="eastAsia"/>
          <w:szCs w:val="21"/>
        </w:rPr>
        <w:t>”。</w:t>
      </w:r>
    </w:p>
    <w:p>
      <w:pPr>
        <w:adjustRightInd w:val="0"/>
        <w:snapToGrid w:val="0"/>
        <w:spacing w:line="400" w:lineRule="exact"/>
        <w:ind w:firstLine="420"/>
        <w:rPr>
          <w:szCs w:val="21"/>
        </w:rPr>
      </w:pPr>
      <w:r>
        <w:rPr>
          <w:rFonts w:hint="eastAsia"/>
          <w:szCs w:val="21"/>
        </w:rPr>
        <w:t>2、关于“术语和定义”（第3章）</w:t>
      </w:r>
    </w:p>
    <w:p>
      <w:pPr>
        <w:adjustRightInd w:val="0"/>
        <w:snapToGrid w:val="0"/>
        <w:spacing w:line="400" w:lineRule="exact"/>
        <w:ind w:firstLine="420"/>
        <w:rPr>
          <w:szCs w:val="21"/>
        </w:rPr>
      </w:pPr>
      <w:r>
        <w:rPr>
          <w:rFonts w:hint="eastAsia"/>
          <w:szCs w:val="21"/>
        </w:rPr>
        <w:t>整合标准给出的“术语和定义”分三类：</w:t>
      </w:r>
      <w:r>
        <w:rPr>
          <w:rFonts w:hint="eastAsia"/>
          <w:b/>
          <w:bCs/>
          <w:szCs w:val="21"/>
        </w:rPr>
        <w:t>第一类</w:t>
      </w:r>
      <w:r>
        <w:rPr>
          <w:rFonts w:hint="eastAsia"/>
          <w:szCs w:val="21"/>
        </w:rPr>
        <w:t>是为方便标准使用者正确理解机动车</w:t>
      </w:r>
      <w:r>
        <w:rPr>
          <w:szCs w:val="21"/>
        </w:rPr>
        <w:t>回复反射装置</w:t>
      </w:r>
      <w:r>
        <w:rPr>
          <w:rFonts w:hint="eastAsia"/>
          <w:szCs w:val="21"/>
        </w:rPr>
        <w:t>的</w:t>
      </w:r>
      <w:r>
        <w:rPr>
          <w:szCs w:val="21"/>
        </w:rPr>
        <w:t>覆盖产品</w:t>
      </w:r>
      <w:r>
        <w:rPr>
          <w:rFonts w:hint="eastAsia"/>
          <w:szCs w:val="21"/>
        </w:rPr>
        <w:t>范围</w:t>
      </w:r>
      <w:r>
        <w:rPr>
          <w:szCs w:val="21"/>
        </w:rPr>
        <w:t>和覆盖产品特性，</w:t>
      </w:r>
      <w:r>
        <w:rPr>
          <w:rFonts w:hint="eastAsia"/>
          <w:szCs w:val="21"/>
        </w:rPr>
        <w:t>给出</w:t>
      </w:r>
      <w:r>
        <w:rPr>
          <w:szCs w:val="21"/>
        </w:rPr>
        <w:t>了</w:t>
      </w:r>
      <w:r>
        <w:rPr>
          <w:rFonts w:hint="eastAsia"/>
          <w:szCs w:val="21"/>
        </w:rPr>
        <w:t>机动车</w:t>
      </w:r>
      <w:r>
        <w:rPr>
          <w:szCs w:val="21"/>
        </w:rPr>
        <w:t>回复反射</w:t>
      </w:r>
      <w:r>
        <w:rPr>
          <w:rFonts w:hint="eastAsia"/>
          <w:szCs w:val="21"/>
        </w:rPr>
        <w:t>装置</w:t>
      </w:r>
      <w:r>
        <w:rPr>
          <w:szCs w:val="21"/>
        </w:rPr>
        <w:t>、</w:t>
      </w:r>
      <w:r>
        <w:rPr>
          <w:rFonts w:hint="eastAsia"/>
          <w:szCs w:val="21"/>
        </w:rPr>
        <w:t>反射器、反光标识、标志板和三角牌的</w:t>
      </w:r>
      <w:r>
        <w:rPr>
          <w:szCs w:val="21"/>
        </w:rPr>
        <w:t>定义</w:t>
      </w:r>
      <w:r>
        <w:rPr>
          <w:rFonts w:hint="eastAsia"/>
          <w:szCs w:val="21"/>
        </w:rPr>
        <w:t>；</w:t>
      </w:r>
      <w:r>
        <w:rPr>
          <w:rFonts w:hint="eastAsia"/>
          <w:b/>
          <w:bCs/>
          <w:szCs w:val="21"/>
        </w:rPr>
        <w:t>第二类</w:t>
      </w:r>
      <w:r>
        <w:rPr>
          <w:rFonts w:hint="eastAsia"/>
          <w:szCs w:val="21"/>
        </w:rPr>
        <w:t>是为方便表述机动车回复反射装置光度性能要求的术语，包括“回复反射”、“回复反射单元”、“反光膜”、“荧光”、“发光强度系数”、“逆反射系数”、“亮度因数”；</w:t>
      </w:r>
      <w:r>
        <w:rPr>
          <w:rFonts w:hint="eastAsia"/>
          <w:b/>
          <w:bCs/>
          <w:szCs w:val="21"/>
        </w:rPr>
        <w:t>第三类</w:t>
      </w:r>
      <w:r>
        <w:rPr>
          <w:rFonts w:hint="eastAsia"/>
          <w:szCs w:val="21"/>
        </w:rPr>
        <w:t>是为方便表述光度性能测试要求的术语，包括“基准轴”、“照明轴”、“观察轴”、“观察半平面”、“第一轴”、“第二轴”、“观察角”、“照射角”、“入射角第一分量”、“入射角第二分量”、“旋转角”。</w:t>
      </w:r>
    </w:p>
    <w:p>
      <w:pPr>
        <w:adjustRightInd w:val="0"/>
        <w:snapToGrid w:val="0"/>
        <w:spacing w:line="400" w:lineRule="exact"/>
        <w:ind w:firstLine="420"/>
        <w:rPr>
          <w:szCs w:val="21"/>
        </w:rPr>
      </w:pPr>
      <w:r>
        <w:rPr>
          <w:rFonts w:hint="eastAsia"/>
          <w:szCs w:val="21"/>
        </w:rPr>
        <w:t>3、关于“通用要求”（4</w:t>
      </w:r>
      <w:r>
        <w:rPr>
          <w:szCs w:val="21"/>
        </w:rPr>
        <w:t>.1</w:t>
      </w:r>
      <w:r>
        <w:rPr>
          <w:rFonts w:hint="eastAsia"/>
          <w:szCs w:val="21"/>
        </w:rPr>
        <w:t>）</w:t>
      </w:r>
    </w:p>
    <w:p>
      <w:pPr>
        <w:adjustRightInd w:val="0"/>
        <w:snapToGrid w:val="0"/>
        <w:spacing w:line="400" w:lineRule="exact"/>
        <w:ind w:firstLine="420"/>
        <w:rPr>
          <w:szCs w:val="21"/>
        </w:rPr>
      </w:pPr>
      <w:r>
        <w:rPr>
          <w:rFonts w:hint="eastAsia"/>
          <w:szCs w:val="21"/>
        </w:rPr>
        <w:t>“通用</w:t>
      </w:r>
      <w:r>
        <w:rPr>
          <w:szCs w:val="21"/>
        </w:rPr>
        <w:t>要求</w:t>
      </w:r>
      <w:r>
        <w:rPr>
          <w:rFonts w:hint="eastAsia"/>
          <w:szCs w:val="21"/>
        </w:rPr>
        <w:t>”规定</w:t>
      </w:r>
      <w:r>
        <w:rPr>
          <w:szCs w:val="21"/>
        </w:rPr>
        <w:t>了同时适用于</w:t>
      </w:r>
      <w:r>
        <w:rPr>
          <w:rFonts w:hint="eastAsia"/>
          <w:szCs w:val="21"/>
        </w:rPr>
        <w:t>4类</w:t>
      </w:r>
      <w:r>
        <w:rPr>
          <w:szCs w:val="21"/>
        </w:rPr>
        <w:t>产品的性能要求，</w:t>
      </w:r>
      <w:r>
        <w:rPr>
          <w:rFonts w:hint="eastAsia"/>
          <w:szCs w:val="21"/>
        </w:rPr>
        <w:t>具体</w:t>
      </w:r>
      <w:r>
        <w:rPr>
          <w:szCs w:val="21"/>
        </w:rPr>
        <w:t>包括：</w:t>
      </w:r>
    </w:p>
    <w:p>
      <w:pPr>
        <w:adjustRightInd w:val="0"/>
        <w:snapToGrid w:val="0"/>
        <w:spacing w:line="400" w:lineRule="exact"/>
        <w:ind w:firstLine="420"/>
        <w:rPr>
          <w:szCs w:val="21"/>
        </w:rPr>
      </w:pPr>
      <w:r>
        <w:rPr>
          <w:rFonts w:hint="eastAsia"/>
          <w:szCs w:val="21"/>
        </w:rPr>
        <w:t>（1）修改了“外观”。根据整合要求，外观重点</w:t>
      </w:r>
      <w:r>
        <w:rPr>
          <w:szCs w:val="21"/>
        </w:rPr>
        <w:t>针对</w:t>
      </w:r>
      <w:r>
        <w:rPr>
          <w:rFonts w:hint="eastAsia"/>
          <w:szCs w:val="21"/>
        </w:rPr>
        <w:t>4类</w:t>
      </w:r>
      <w:r>
        <w:rPr>
          <w:szCs w:val="21"/>
        </w:rPr>
        <w:t>产品</w:t>
      </w:r>
      <w:r>
        <w:rPr>
          <w:rFonts w:hint="eastAsia"/>
          <w:szCs w:val="21"/>
        </w:rPr>
        <w:t>的</w:t>
      </w:r>
      <w:r>
        <w:rPr>
          <w:szCs w:val="21"/>
        </w:rPr>
        <w:t>发光区域，</w:t>
      </w:r>
      <w:r>
        <w:rPr>
          <w:rFonts w:hint="eastAsia"/>
          <w:szCs w:val="21"/>
        </w:rPr>
        <w:t>保留了“无尖角或锐边”、 “无妨碍表面清洁的突出物”、 “发光区域应光滑”、“无明显的划痕、气泡、裂纹、颜色不均匀等缺陷或损伤”等与放置意外</w:t>
      </w:r>
      <w:r>
        <w:rPr>
          <w:szCs w:val="21"/>
        </w:rPr>
        <w:t>伤害、</w:t>
      </w:r>
      <w:r>
        <w:rPr>
          <w:rFonts w:hint="eastAsia"/>
          <w:szCs w:val="21"/>
        </w:rPr>
        <w:t>方便维护、保证发光效果等</w:t>
      </w:r>
      <w:r>
        <w:rPr>
          <w:szCs w:val="21"/>
        </w:rPr>
        <w:t>有关的要求，</w:t>
      </w:r>
      <w:r>
        <w:rPr>
          <w:rFonts w:hint="eastAsia"/>
          <w:szCs w:val="21"/>
        </w:rPr>
        <w:t>删除了部分缺少明确判定依据的要求。</w:t>
      </w:r>
    </w:p>
    <w:p>
      <w:pPr>
        <w:adjustRightInd w:val="0"/>
        <w:snapToGrid w:val="0"/>
        <w:spacing w:line="400" w:lineRule="exact"/>
        <w:ind w:firstLine="420"/>
        <w:rPr>
          <w:szCs w:val="21"/>
        </w:rPr>
      </w:pPr>
      <w:r>
        <w:rPr>
          <w:rFonts w:hint="eastAsia"/>
          <w:szCs w:val="21"/>
        </w:rPr>
        <w:t>（2）修改了“形状及尺寸”。考虑到反射器、反光标识、标志板和三角牌的结构、形状及尺寸要求的差异较大，该部分按4类产品分别提出，修改</w:t>
      </w:r>
      <w:r>
        <w:rPr>
          <w:szCs w:val="21"/>
        </w:rPr>
        <w:t>内容包括：</w:t>
      </w:r>
    </w:p>
    <w:p>
      <w:pPr>
        <w:pStyle w:val="20"/>
        <w:numPr>
          <w:ilvl w:val="0"/>
          <w:numId w:val="3"/>
        </w:numPr>
        <w:adjustRightInd w:val="0"/>
        <w:snapToGrid w:val="0"/>
        <w:spacing w:line="400" w:lineRule="exact"/>
        <w:rPr>
          <w:rFonts w:ascii="Times New Roman"/>
          <w:szCs w:val="22"/>
        </w:rPr>
      </w:pPr>
      <w:r>
        <w:rPr>
          <w:rFonts w:hint="eastAsia" w:ascii="Times New Roman"/>
          <w:szCs w:val="22"/>
        </w:rPr>
        <w:t>修改</w:t>
      </w:r>
      <w:r>
        <w:rPr>
          <w:rFonts w:ascii="Times New Roman"/>
          <w:szCs w:val="22"/>
        </w:rPr>
        <w:t>了</w:t>
      </w:r>
      <w:r>
        <w:rPr>
          <w:rFonts w:hint="eastAsia" w:ascii="Times New Roman"/>
          <w:szCs w:val="22"/>
        </w:rPr>
        <w:t>反光膜</w:t>
      </w:r>
      <w:r>
        <w:rPr>
          <w:rFonts w:ascii="Times New Roman"/>
          <w:szCs w:val="22"/>
        </w:rPr>
        <w:t>型</w:t>
      </w:r>
      <w:r>
        <w:rPr>
          <w:rFonts w:hint="eastAsia" w:ascii="Times New Roman"/>
          <w:szCs w:val="22"/>
        </w:rPr>
        <w:t>反光标识形状、</w:t>
      </w:r>
      <w:r>
        <w:rPr>
          <w:rFonts w:ascii="Times New Roman"/>
          <w:szCs w:val="22"/>
        </w:rPr>
        <w:t>尺寸</w:t>
      </w:r>
      <w:r>
        <w:rPr>
          <w:rFonts w:hint="eastAsia" w:ascii="Times New Roman"/>
          <w:szCs w:val="22"/>
        </w:rPr>
        <w:t>和</w:t>
      </w:r>
      <w:r>
        <w:rPr>
          <w:rFonts w:ascii="Times New Roman"/>
          <w:szCs w:val="22"/>
        </w:rPr>
        <w:t>颜色</w:t>
      </w:r>
      <w:r>
        <w:rPr>
          <w:rFonts w:hint="eastAsia" w:ascii="Times New Roman"/>
          <w:szCs w:val="22"/>
        </w:rPr>
        <w:t>。根据市场应用情况，将A类反光标识每种颜色单元的连续长度限定长150mm、宽50mm或25mm，尺寸偏差小于2%。</w:t>
      </w:r>
      <w:r>
        <w:rPr>
          <w:rFonts w:hint="eastAsia"/>
          <w:szCs w:val="22"/>
        </w:rPr>
        <w:t>同时，考虑到用《道路运输爆炸品和剧毒化学品车辆安全技术条件》（GB 20300-2018）</w:t>
      </w:r>
      <w:r>
        <w:rPr>
          <w:rFonts w:hint="eastAsia"/>
          <w:szCs w:val="21"/>
        </w:rPr>
        <w:t>中规定的道路运输爆炸品和剧毒化学品车辆后部和两侧粘贴的橙色反光带，也是粘贴在车身表面的反光膜，其性能要求及作用与反光标识类似，因此将其列为B类车身反光标识，</w:t>
      </w:r>
      <w:r>
        <w:rPr>
          <w:rFonts w:hint="eastAsia" w:ascii="Times New Roman"/>
          <w:szCs w:val="22"/>
        </w:rPr>
        <w:t>形状和</w:t>
      </w:r>
      <w:r>
        <w:rPr>
          <w:rFonts w:ascii="Times New Roman"/>
          <w:szCs w:val="22"/>
        </w:rPr>
        <w:t>尺寸直接用</w:t>
      </w:r>
      <w:r>
        <w:rPr>
          <w:rFonts w:hint="eastAsia" w:ascii="Times New Roman"/>
          <w:szCs w:val="22"/>
        </w:rPr>
        <w:t>GB 20300。</w:t>
      </w:r>
    </w:p>
    <w:p>
      <w:pPr>
        <w:pStyle w:val="20"/>
        <w:numPr>
          <w:ilvl w:val="0"/>
          <w:numId w:val="3"/>
        </w:numPr>
        <w:adjustRightInd w:val="0"/>
        <w:snapToGrid w:val="0"/>
        <w:spacing w:line="400" w:lineRule="exact"/>
        <w:rPr>
          <w:rFonts w:ascii="Times New Roman"/>
          <w:szCs w:val="22"/>
        </w:rPr>
      </w:pPr>
      <w:r>
        <w:rPr>
          <w:rFonts w:hint="eastAsia" w:ascii="Times New Roman"/>
          <w:szCs w:val="22"/>
        </w:rPr>
        <w:t>增加</w:t>
      </w:r>
      <w:r>
        <w:rPr>
          <w:rFonts w:ascii="Times New Roman"/>
          <w:szCs w:val="22"/>
        </w:rPr>
        <w:t>了</w:t>
      </w:r>
      <w:r>
        <w:rPr>
          <w:rFonts w:hint="eastAsia" w:ascii="Times New Roman"/>
          <w:szCs w:val="22"/>
        </w:rPr>
        <w:t>反射器</w:t>
      </w:r>
      <w:r>
        <w:rPr>
          <w:rFonts w:ascii="Times New Roman"/>
          <w:szCs w:val="22"/>
        </w:rPr>
        <w:t>型反光标识</w:t>
      </w:r>
      <w:r>
        <w:rPr>
          <w:rFonts w:hint="eastAsia" w:ascii="Times New Roman"/>
          <w:szCs w:val="22"/>
        </w:rPr>
        <w:t>的</w:t>
      </w:r>
      <w:r>
        <w:rPr>
          <w:rFonts w:ascii="Times New Roman"/>
          <w:szCs w:val="22"/>
        </w:rPr>
        <w:t>形状</w:t>
      </w:r>
      <w:r>
        <w:rPr>
          <w:rFonts w:hint="eastAsia" w:ascii="Times New Roman"/>
          <w:szCs w:val="22"/>
        </w:rPr>
        <w:t>、</w:t>
      </w:r>
      <w:r>
        <w:rPr>
          <w:rFonts w:ascii="Times New Roman"/>
          <w:szCs w:val="22"/>
        </w:rPr>
        <w:t>尺寸</w:t>
      </w:r>
      <w:r>
        <w:rPr>
          <w:rFonts w:hint="eastAsia" w:ascii="Times New Roman"/>
          <w:szCs w:val="22"/>
        </w:rPr>
        <w:t>和</w:t>
      </w:r>
      <w:r>
        <w:rPr>
          <w:rFonts w:ascii="Times New Roman"/>
          <w:szCs w:val="22"/>
        </w:rPr>
        <w:t>颜色要求。</w:t>
      </w:r>
      <w:r>
        <w:rPr>
          <w:rFonts w:hint="eastAsia" w:ascii="Times New Roman"/>
          <w:szCs w:val="22"/>
        </w:rPr>
        <w:t>目前作为反射器型反光标识应用的反射器，其发光区域的形状、尺寸与反光膜型反光标识一致，有关</w:t>
      </w:r>
      <w:r>
        <w:rPr>
          <w:rFonts w:hint="eastAsia"/>
          <w:szCs w:val="21"/>
        </w:rPr>
        <w:t>IVA类反射器的</w:t>
      </w:r>
      <w:r>
        <w:rPr>
          <w:szCs w:val="21"/>
        </w:rPr>
        <w:t>要求与应用现状不匹配</w:t>
      </w:r>
      <w:r>
        <w:rPr>
          <w:rFonts w:hint="eastAsia"/>
          <w:szCs w:val="21"/>
        </w:rPr>
        <w:t>。</w:t>
      </w:r>
      <w:r>
        <w:rPr>
          <w:szCs w:val="21"/>
        </w:rPr>
        <w:t>调整</w:t>
      </w:r>
      <w:r>
        <w:rPr>
          <w:rFonts w:hint="eastAsia"/>
          <w:szCs w:val="21"/>
        </w:rPr>
        <w:t>IVA类反射器的</w:t>
      </w:r>
      <w:r>
        <w:rPr>
          <w:szCs w:val="21"/>
        </w:rPr>
        <w:t>技术要求</w:t>
      </w:r>
      <w:r>
        <w:rPr>
          <w:rFonts w:hint="eastAsia"/>
          <w:szCs w:val="21"/>
        </w:rPr>
        <w:t>，造成</w:t>
      </w:r>
      <w:r>
        <w:rPr>
          <w:szCs w:val="21"/>
        </w:rPr>
        <w:t>目前在用的</w:t>
      </w:r>
      <w:r>
        <w:rPr>
          <w:rFonts w:hint="eastAsia"/>
          <w:szCs w:val="21"/>
        </w:rPr>
        <w:t>IVA类反射器不合格</w:t>
      </w:r>
      <w:r>
        <w:rPr>
          <w:szCs w:val="21"/>
        </w:rPr>
        <w:t>，且与</w:t>
      </w:r>
      <w:r>
        <w:rPr>
          <w:rFonts w:ascii="Times New Roman"/>
          <w:szCs w:val="21"/>
        </w:rPr>
        <w:t>UN法规</w:t>
      </w:r>
      <w:r>
        <w:rPr>
          <w:rFonts w:hint="eastAsia" w:ascii="Times New Roman"/>
          <w:szCs w:val="21"/>
        </w:rPr>
        <w:t>不一致</w:t>
      </w:r>
      <w:r>
        <w:rPr>
          <w:rFonts w:ascii="Times New Roman"/>
          <w:szCs w:val="21"/>
        </w:rPr>
        <w:t>，</w:t>
      </w:r>
      <w:r>
        <w:rPr>
          <w:rFonts w:hint="eastAsia" w:ascii="Times New Roman"/>
          <w:szCs w:val="21"/>
        </w:rPr>
        <w:t>因此独立</w:t>
      </w:r>
      <w:r>
        <w:rPr>
          <w:rFonts w:ascii="Times New Roman"/>
          <w:szCs w:val="21"/>
        </w:rPr>
        <w:t>提出反射器型车身反光标识的要求，</w:t>
      </w:r>
      <w:r>
        <w:rPr>
          <w:rFonts w:ascii="Times New Roman"/>
          <w:szCs w:val="22"/>
        </w:rPr>
        <w:t>相关形状和尺寸与</w:t>
      </w:r>
      <w:r>
        <w:rPr>
          <w:rFonts w:hint="eastAsia" w:ascii="Times New Roman"/>
          <w:szCs w:val="22"/>
        </w:rPr>
        <w:t>原反光膜型</w:t>
      </w:r>
      <w:r>
        <w:rPr>
          <w:rFonts w:ascii="Times New Roman"/>
          <w:szCs w:val="22"/>
        </w:rPr>
        <w:t>反光标识</w:t>
      </w:r>
      <w:r>
        <w:rPr>
          <w:rFonts w:hint="eastAsia" w:ascii="Times New Roman"/>
          <w:szCs w:val="22"/>
        </w:rPr>
        <w:t>（现A类反光标识）</w:t>
      </w:r>
      <w:r>
        <w:rPr>
          <w:rFonts w:ascii="Times New Roman"/>
          <w:szCs w:val="22"/>
        </w:rPr>
        <w:t>一致。</w:t>
      </w:r>
    </w:p>
    <w:p>
      <w:pPr>
        <w:adjustRightInd w:val="0"/>
        <w:snapToGrid w:val="0"/>
        <w:spacing w:line="400" w:lineRule="exact"/>
        <w:ind w:firstLine="420"/>
        <w:rPr>
          <w:szCs w:val="21"/>
        </w:rPr>
      </w:pPr>
      <w:r>
        <w:rPr>
          <w:rFonts w:hint="eastAsia"/>
          <w:szCs w:val="21"/>
        </w:rPr>
        <w:t>（3）修改了“光度性能”。由于反射器</w:t>
      </w:r>
      <w:r>
        <w:rPr>
          <w:szCs w:val="21"/>
        </w:rPr>
        <w:t>、</w:t>
      </w:r>
      <w:r>
        <w:rPr>
          <w:rFonts w:hint="eastAsia"/>
          <w:szCs w:val="21"/>
        </w:rPr>
        <w:t>反光</w:t>
      </w:r>
      <w:r>
        <w:rPr>
          <w:szCs w:val="21"/>
        </w:rPr>
        <w:t>标识、</w:t>
      </w:r>
      <w:r>
        <w:rPr>
          <w:rFonts w:hint="eastAsia"/>
          <w:szCs w:val="21"/>
        </w:rPr>
        <w:t>标志板和</w:t>
      </w:r>
      <w:r>
        <w:rPr>
          <w:szCs w:val="21"/>
        </w:rPr>
        <w:t>三角牌发光区域材料的差异，</w:t>
      </w:r>
      <w:r>
        <w:rPr>
          <w:rFonts w:hint="eastAsia"/>
          <w:szCs w:val="21"/>
        </w:rPr>
        <w:t>无法</w:t>
      </w:r>
      <w:r>
        <w:rPr>
          <w:szCs w:val="21"/>
        </w:rPr>
        <w:t>采用同一</w:t>
      </w:r>
      <w:r>
        <w:rPr>
          <w:rFonts w:hint="eastAsia"/>
          <w:szCs w:val="21"/>
        </w:rPr>
        <w:t>光度单位</w:t>
      </w:r>
      <w:r>
        <w:rPr>
          <w:szCs w:val="21"/>
        </w:rPr>
        <w:t>进行评价，因此本次修订</w:t>
      </w:r>
      <w:r>
        <w:rPr>
          <w:rFonts w:hint="eastAsia"/>
          <w:szCs w:val="21"/>
        </w:rPr>
        <w:t>分别</w:t>
      </w:r>
      <w:r>
        <w:rPr>
          <w:szCs w:val="21"/>
        </w:rPr>
        <w:t>采用发光强度系数、逆反射系数、均匀性</w:t>
      </w:r>
      <w:r>
        <w:rPr>
          <w:rFonts w:hint="eastAsia"/>
          <w:szCs w:val="21"/>
        </w:rPr>
        <w:t>和</w:t>
      </w:r>
      <w:r>
        <w:rPr>
          <w:szCs w:val="21"/>
        </w:rPr>
        <w:t>亮度因数分别进行评价，</w:t>
      </w:r>
      <w:r>
        <w:rPr>
          <w:rFonts w:hint="eastAsia"/>
          <w:szCs w:val="21"/>
        </w:rPr>
        <w:t>具体</w:t>
      </w:r>
      <w:r>
        <w:rPr>
          <w:szCs w:val="21"/>
        </w:rPr>
        <w:t>修改内容包括：</w:t>
      </w:r>
    </w:p>
    <w:p>
      <w:pPr>
        <w:pStyle w:val="20"/>
        <w:numPr>
          <w:ilvl w:val="0"/>
          <w:numId w:val="4"/>
        </w:numPr>
        <w:adjustRightInd w:val="0"/>
        <w:snapToGrid w:val="0"/>
        <w:spacing w:line="400" w:lineRule="exact"/>
        <w:rPr>
          <w:rFonts w:ascii="Times New Roman"/>
          <w:szCs w:val="21"/>
        </w:rPr>
      </w:pPr>
      <w:r>
        <w:rPr>
          <w:rFonts w:hint="eastAsia" w:ascii="Times New Roman"/>
          <w:szCs w:val="22"/>
        </w:rPr>
        <w:t>增加了反射器型</w:t>
      </w:r>
      <w:r>
        <w:rPr>
          <w:rFonts w:ascii="Times New Roman"/>
          <w:szCs w:val="22"/>
        </w:rPr>
        <w:t>反光标识的</w:t>
      </w:r>
      <w:r>
        <w:rPr>
          <w:rFonts w:hint="eastAsia" w:ascii="Times New Roman"/>
          <w:szCs w:val="22"/>
        </w:rPr>
        <w:t>光度性能要求。目前，广泛应用的反射器型车身反光标识的发光区域</w:t>
      </w:r>
      <w:r>
        <w:rPr>
          <w:rFonts w:hint="eastAsia" w:ascii="Times New Roman"/>
          <w:szCs w:val="21"/>
        </w:rPr>
        <w:t>远大于IVA类反射器的最低要求，直接引用IVA类反射器的光度性能要求，换算后光度性能甚至低于GB 23254-2009中Ⅱ级反光膜型车身反光标识，性能要求落后于反射器产品现状及应用需求，人大</w:t>
      </w:r>
      <w:r>
        <w:rPr>
          <w:rFonts w:ascii="Times New Roman"/>
          <w:szCs w:val="21"/>
        </w:rPr>
        <w:t>代表、生产企业</w:t>
      </w:r>
      <w:r>
        <w:rPr>
          <w:rFonts w:hint="eastAsia" w:ascii="Times New Roman"/>
          <w:szCs w:val="21"/>
        </w:rPr>
        <w:t>等</w:t>
      </w:r>
      <w:r>
        <w:rPr>
          <w:rFonts w:ascii="Times New Roman"/>
          <w:szCs w:val="21"/>
        </w:rPr>
        <w:t>多次呼吁提高相关技术指标</w:t>
      </w:r>
      <w:r>
        <w:rPr>
          <w:rFonts w:hint="eastAsia" w:ascii="Times New Roman"/>
          <w:szCs w:val="21"/>
        </w:rPr>
        <w:t>。因此</w:t>
      </w:r>
      <w:r>
        <w:rPr>
          <w:rFonts w:ascii="Times New Roman"/>
          <w:szCs w:val="21"/>
        </w:rPr>
        <w:t>，在</w:t>
      </w:r>
      <w:r>
        <w:rPr>
          <w:rFonts w:hint="eastAsia" w:ascii="Times New Roman"/>
          <w:szCs w:val="21"/>
        </w:rPr>
        <w:t>明确</w:t>
      </w:r>
      <w:r>
        <w:rPr>
          <w:rFonts w:hint="eastAsia" w:ascii="Times New Roman"/>
          <w:szCs w:val="22"/>
        </w:rPr>
        <w:t>反射器型</w:t>
      </w:r>
      <w:r>
        <w:rPr>
          <w:rFonts w:ascii="Times New Roman"/>
          <w:szCs w:val="22"/>
        </w:rPr>
        <w:t>反光标识的形状和尺寸要求后，</w:t>
      </w:r>
      <w:r>
        <w:rPr>
          <w:rFonts w:hint="eastAsia" w:ascii="Times New Roman"/>
          <w:szCs w:val="22"/>
        </w:rPr>
        <w:t>增加</w:t>
      </w:r>
      <w:r>
        <w:rPr>
          <w:rFonts w:ascii="Times New Roman"/>
          <w:szCs w:val="22"/>
        </w:rPr>
        <w:t>了</w:t>
      </w:r>
      <w:r>
        <w:rPr>
          <w:rFonts w:hint="eastAsia" w:ascii="Times New Roman"/>
          <w:szCs w:val="22"/>
        </w:rPr>
        <w:t>反射器反光</w:t>
      </w:r>
      <w:r>
        <w:rPr>
          <w:rFonts w:ascii="Times New Roman"/>
          <w:szCs w:val="22"/>
        </w:rPr>
        <w:t>标识</w:t>
      </w:r>
      <w:r>
        <w:rPr>
          <w:rFonts w:hint="eastAsia" w:ascii="Times New Roman"/>
          <w:szCs w:val="22"/>
        </w:rPr>
        <w:t>的光度</w:t>
      </w:r>
      <w:r>
        <w:rPr>
          <w:rFonts w:ascii="Times New Roman"/>
          <w:szCs w:val="22"/>
        </w:rPr>
        <w:t>性能要求。</w:t>
      </w:r>
    </w:p>
    <w:p>
      <w:pPr>
        <w:pStyle w:val="20"/>
        <w:numPr>
          <w:ilvl w:val="0"/>
          <w:numId w:val="4"/>
        </w:numPr>
        <w:adjustRightInd w:val="0"/>
        <w:snapToGrid w:val="0"/>
        <w:spacing w:line="400" w:lineRule="exact"/>
        <w:rPr>
          <w:rFonts w:ascii="Times New Roman"/>
          <w:szCs w:val="22"/>
        </w:rPr>
      </w:pPr>
      <w:r>
        <w:rPr>
          <w:rFonts w:hint="eastAsia" w:ascii="Times New Roman"/>
        </w:rPr>
        <w:t>提高了A类二级反光标识的逆反射系数要求。首先，从行业发展</w:t>
      </w:r>
      <w:r>
        <w:rPr>
          <w:rFonts w:hint="eastAsia" w:ascii="Times New Roman"/>
          <w:szCs w:val="22"/>
        </w:rPr>
        <w:t>国内反光膜生产企业经过多年发展，产品性能已经取得较大发展，多个</w:t>
      </w:r>
      <w:r>
        <w:rPr>
          <w:rFonts w:ascii="Times New Roman"/>
          <w:szCs w:val="22"/>
        </w:rPr>
        <w:t>企业</w:t>
      </w:r>
      <w:r>
        <w:rPr>
          <w:rFonts w:hint="eastAsia" w:ascii="Times New Roman"/>
          <w:szCs w:val="22"/>
        </w:rPr>
        <w:t>都具备微棱镜</w:t>
      </w:r>
      <w:r>
        <w:rPr>
          <w:rFonts w:ascii="Times New Roman"/>
          <w:szCs w:val="22"/>
        </w:rPr>
        <w:t>型反光膜</w:t>
      </w:r>
      <w:r>
        <w:rPr>
          <w:rFonts w:hint="eastAsia" w:ascii="Times New Roman"/>
          <w:szCs w:val="22"/>
        </w:rPr>
        <w:t>的</w:t>
      </w:r>
      <w:r>
        <w:rPr>
          <w:rFonts w:ascii="Times New Roman"/>
          <w:szCs w:val="22"/>
        </w:rPr>
        <w:t>生产能力</w:t>
      </w:r>
      <w:r>
        <w:rPr>
          <w:rFonts w:hint="eastAsia" w:ascii="Times New Roman"/>
          <w:szCs w:val="22"/>
        </w:rPr>
        <w:t>。为提升车身反光标识的应用效果，提高</w:t>
      </w:r>
      <w:r>
        <w:rPr>
          <w:rFonts w:ascii="Times New Roman"/>
          <w:szCs w:val="22"/>
        </w:rPr>
        <w:t>了</w:t>
      </w:r>
      <w:r>
        <w:rPr>
          <w:rFonts w:hint="eastAsia" w:ascii="Times New Roman"/>
          <w:szCs w:val="22"/>
        </w:rPr>
        <w:t>二级车身反光标识的逆反射系数值。</w:t>
      </w:r>
    </w:p>
    <w:p>
      <w:pPr>
        <w:pStyle w:val="20"/>
        <w:numPr>
          <w:ilvl w:val="0"/>
          <w:numId w:val="4"/>
        </w:numPr>
        <w:adjustRightInd w:val="0"/>
        <w:snapToGrid w:val="0"/>
        <w:spacing w:line="400" w:lineRule="exact"/>
        <w:rPr>
          <w:rFonts w:ascii="Times New Roman"/>
          <w:szCs w:val="22"/>
        </w:rPr>
      </w:pPr>
      <w:r>
        <w:rPr>
          <w:rFonts w:hint="eastAsia" w:ascii="Times New Roman"/>
          <w:szCs w:val="22"/>
        </w:rPr>
        <w:t>增加了B类</w:t>
      </w:r>
      <w:r>
        <w:rPr>
          <w:rFonts w:ascii="Times New Roman"/>
          <w:szCs w:val="22"/>
        </w:rPr>
        <w:t>反光标识的</w:t>
      </w:r>
      <w:r>
        <w:rPr>
          <w:rFonts w:hint="eastAsia" w:ascii="Times New Roman"/>
          <w:szCs w:val="22"/>
        </w:rPr>
        <w:t>光度性能要求。根据</w:t>
      </w:r>
      <w:r>
        <w:rPr>
          <w:rFonts w:hint="eastAsia"/>
          <w:szCs w:val="22"/>
        </w:rPr>
        <w:t>GB 20300中</w:t>
      </w:r>
      <w:r>
        <w:rPr>
          <w:szCs w:val="22"/>
        </w:rPr>
        <w:t>的相关规定，增加了</w:t>
      </w:r>
      <w:r>
        <w:rPr>
          <w:rFonts w:hint="eastAsia"/>
          <w:szCs w:val="22"/>
        </w:rPr>
        <w:t>B类</w:t>
      </w:r>
      <w:r>
        <w:rPr>
          <w:szCs w:val="22"/>
        </w:rPr>
        <w:t>反光标识的光度性能要求。</w:t>
      </w:r>
    </w:p>
    <w:p>
      <w:pPr>
        <w:pStyle w:val="20"/>
        <w:numPr>
          <w:ilvl w:val="0"/>
          <w:numId w:val="4"/>
        </w:numPr>
        <w:adjustRightInd w:val="0"/>
        <w:snapToGrid w:val="0"/>
        <w:spacing w:line="400" w:lineRule="exact"/>
        <w:rPr>
          <w:rFonts w:ascii="Times New Roman"/>
        </w:rPr>
      </w:pPr>
      <w:r>
        <w:rPr>
          <w:rFonts w:hint="eastAsia" w:ascii="Times New Roman"/>
        </w:rPr>
        <w:t>增加</w:t>
      </w:r>
      <w:r>
        <w:rPr>
          <w:rFonts w:ascii="Times New Roman"/>
        </w:rPr>
        <w:t>了反射器</w:t>
      </w:r>
      <w:r>
        <w:rPr>
          <w:rFonts w:hint="eastAsia" w:ascii="Times New Roman"/>
          <w:szCs w:val="22"/>
        </w:rPr>
        <w:t>反射器型</w:t>
      </w:r>
      <w:r>
        <w:rPr>
          <w:rFonts w:ascii="Times New Roman"/>
          <w:szCs w:val="22"/>
        </w:rPr>
        <w:t>反光标识的</w:t>
      </w:r>
      <w:r>
        <w:rPr>
          <w:rFonts w:hint="eastAsia" w:ascii="Times New Roman"/>
          <w:szCs w:val="22"/>
        </w:rPr>
        <w:t>光度均匀性。由于反射器</w:t>
      </w:r>
      <w:r>
        <w:rPr>
          <w:rFonts w:ascii="Times New Roman"/>
          <w:szCs w:val="22"/>
        </w:rPr>
        <w:t>型反光标识面积相对较大，</w:t>
      </w:r>
      <w:r>
        <w:rPr>
          <w:rFonts w:hint="eastAsia" w:ascii="Times New Roman"/>
          <w:szCs w:val="22"/>
        </w:rPr>
        <w:t>发光</w:t>
      </w:r>
      <w:r>
        <w:rPr>
          <w:rFonts w:ascii="Times New Roman"/>
          <w:szCs w:val="22"/>
        </w:rPr>
        <w:t>不均匀会影响其夜间使用效果，因此增加了反射器型反光标识的光度均匀性要求。</w:t>
      </w:r>
    </w:p>
    <w:p>
      <w:pPr>
        <w:pStyle w:val="20"/>
        <w:numPr>
          <w:ilvl w:val="0"/>
          <w:numId w:val="4"/>
        </w:numPr>
        <w:adjustRightInd w:val="0"/>
        <w:snapToGrid w:val="0"/>
        <w:spacing w:line="400" w:lineRule="exact"/>
        <w:rPr>
          <w:rFonts w:ascii="Times New Roman"/>
        </w:rPr>
      </w:pPr>
      <w:r>
        <w:rPr>
          <w:rFonts w:hint="eastAsia" w:ascii="Times New Roman"/>
        </w:rPr>
        <w:t>增加</w:t>
      </w:r>
      <w:r>
        <w:rPr>
          <w:rFonts w:ascii="Times New Roman"/>
        </w:rPr>
        <w:t>了</w:t>
      </w:r>
      <w:r>
        <w:rPr>
          <w:rFonts w:hint="eastAsia" w:ascii="Times New Roman"/>
        </w:rPr>
        <w:t>标志板的</w:t>
      </w:r>
      <w:r>
        <w:rPr>
          <w:rFonts w:ascii="Times New Roman"/>
        </w:rPr>
        <w:t>光度均匀性。</w:t>
      </w:r>
      <w:r>
        <w:rPr>
          <w:rFonts w:hint="eastAsia" w:ascii="Times New Roman"/>
        </w:rPr>
        <w:t>为了</w:t>
      </w:r>
      <w:r>
        <w:rPr>
          <w:rFonts w:ascii="Times New Roman"/>
        </w:rPr>
        <w:t>保证</w:t>
      </w:r>
      <w:r>
        <w:rPr>
          <w:rFonts w:hint="eastAsia" w:ascii="Times New Roman"/>
        </w:rPr>
        <w:t>标志板反光膜</w:t>
      </w:r>
      <w:r>
        <w:rPr>
          <w:rFonts w:ascii="Times New Roman"/>
        </w:rPr>
        <w:t>发光区域</w:t>
      </w:r>
      <w:r>
        <w:rPr>
          <w:rFonts w:hint="eastAsia" w:ascii="Times New Roman"/>
        </w:rPr>
        <w:t>均匀</w:t>
      </w:r>
      <w:r>
        <w:rPr>
          <w:rFonts w:ascii="Times New Roman"/>
        </w:rPr>
        <w:t>一致，在夜间更好的反映标志板的图案形状和颜色，本次修订增加了</w:t>
      </w:r>
      <w:r>
        <w:rPr>
          <w:rFonts w:hint="eastAsia" w:ascii="Times New Roman"/>
        </w:rPr>
        <w:t>标志板使用</w:t>
      </w:r>
      <w:r>
        <w:rPr>
          <w:rFonts w:ascii="Times New Roman"/>
        </w:rPr>
        <w:t>反光膜的</w:t>
      </w:r>
      <w:r>
        <w:rPr>
          <w:rFonts w:hint="eastAsia" w:ascii="Times New Roman"/>
        </w:rPr>
        <w:t>光度</w:t>
      </w:r>
      <w:r>
        <w:rPr>
          <w:rFonts w:ascii="Times New Roman"/>
        </w:rPr>
        <w:t>均匀性，具体</w:t>
      </w:r>
      <w:r>
        <w:rPr>
          <w:rFonts w:hint="eastAsia" w:ascii="Times New Roman"/>
        </w:rPr>
        <w:t>比值</w:t>
      </w:r>
      <w:r>
        <w:rPr>
          <w:rFonts w:ascii="Times New Roman"/>
        </w:rPr>
        <w:t>要求</w:t>
      </w:r>
      <w:r>
        <w:rPr>
          <w:rFonts w:hint="eastAsia" w:ascii="Times New Roman"/>
        </w:rPr>
        <w:t>参照</w:t>
      </w:r>
      <w:r>
        <w:rPr>
          <w:rFonts w:ascii="Times New Roman"/>
        </w:rPr>
        <w:t>反光标识。</w:t>
      </w:r>
    </w:p>
    <w:p>
      <w:pPr>
        <w:pStyle w:val="20"/>
        <w:numPr>
          <w:ilvl w:val="0"/>
          <w:numId w:val="4"/>
        </w:numPr>
        <w:adjustRightInd w:val="0"/>
        <w:snapToGrid w:val="0"/>
        <w:spacing w:line="400" w:lineRule="exact"/>
        <w:rPr>
          <w:rFonts w:ascii="Times New Roman"/>
        </w:rPr>
      </w:pPr>
      <w:r>
        <w:rPr>
          <w:rFonts w:hint="eastAsia" w:ascii="Times New Roman"/>
        </w:rPr>
        <w:t>亮度因数统一列为光度性能要求。</w:t>
      </w:r>
      <w:r>
        <w:rPr>
          <w:rFonts w:ascii="Times New Roman"/>
        </w:rPr>
        <w:t>为</w:t>
      </w:r>
      <w:r>
        <w:rPr>
          <w:rFonts w:hint="eastAsia" w:ascii="Times New Roman"/>
        </w:rPr>
        <w:t>统一</w:t>
      </w:r>
      <w:r>
        <w:rPr>
          <w:rFonts w:ascii="Times New Roman"/>
        </w:rPr>
        <w:t>技术要求，</w:t>
      </w:r>
      <w:r>
        <w:rPr>
          <w:rFonts w:hint="eastAsia" w:ascii="Times New Roman"/>
        </w:rPr>
        <w:t>将</w:t>
      </w:r>
      <w:r>
        <w:rPr>
          <w:rFonts w:ascii="Times New Roman"/>
        </w:rPr>
        <w:t>反光膜型反光标识</w:t>
      </w:r>
      <w:r>
        <w:rPr>
          <w:rFonts w:hint="eastAsia" w:ascii="Times New Roman"/>
        </w:rPr>
        <w:t>的亮度</w:t>
      </w:r>
      <w:r>
        <w:rPr>
          <w:rFonts w:ascii="Times New Roman"/>
        </w:rPr>
        <w:t>因数</w:t>
      </w:r>
      <w:r>
        <w:rPr>
          <w:rFonts w:hint="eastAsia" w:ascii="Times New Roman"/>
        </w:rPr>
        <w:t>从</w:t>
      </w:r>
      <w:r>
        <w:rPr>
          <w:rFonts w:ascii="Times New Roman"/>
        </w:rPr>
        <w:t>色度性能</w:t>
      </w:r>
      <w:r>
        <w:rPr>
          <w:rFonts w:hint="eastAsia" w:ascii="Times New Roman"/>
        </w:rPr>
        <w:t>移至</w:t>
      </w:r>
      <w:r>
        <w:rPr>
          <w:rFonts w:ascii="Times New Roman"/>
        </w:rPr>
        <w:t>光度性能。</w:t>
      </w:r>
    </w:p>
    <w:p>
      <w:pPr>
        <w:pStyle w:val="20"/>
        <w:numPr>
          <w:ilvl w:val="0"/>
          <w:numId w:val="4"/>
        </w:numPr>
        <w:adjustRightInd w:val="0"/>
        <w:snapToGrid w:val="0"/>
        <w:spacing w:line="400" w:lineRule="exact"/>
        <w:rPr>
          <w:rFonts w:ascii="Times New Roman"/>
        </w:rPr>
      </w:pPr>
      <w:r>
        <w:rPr>
          <w:rFonts w:hint="eastAsia" w:ascii="Times New Roman"/>
        </w:rPr>
        <w:t>删除了</w:t>
      </w:r>
      <w:r>
        <w:rPr>
          <w:rFonts w:ascii="Times New Roman"/>
        </w:rPr>
        <w:t>反光膜型</w:t>
      </w:r>
      <w:r>
        <w:rPr>
          <w:rFonts w:hint="eastAsia" w:ascii="Times New Roman"/>
        </w:rPr>
        <w:t>反光</w:t>
      </w:r>
      <w:r>
        <w:rPr>
          <w:rFonts w:ascii="Times New Roman"/>
        </w:rPr>
        <w:t>标识的</w:t>
      </w:r>
      <w:r>
        <w:rPr>
          <w:rFonts w:hint="eastAsia" w:ascii="Times New Roman"/>
        </w:rPr>
        <w:t>湿状态</w:t>
      </w:r>
      <w:r>
        <w:rPr>
          <w:rFonts w:ascii="Times New Roman"/>
        </w:rPr>
        <w:t>下的逆反射。考虑</w:t>
      </w:r>
      <w:r>
        <w:rPr>
          <w:rFonts w:hint="eastAsia" w:ascii="Times New Roman"/>
        </w:rPr>
        <w:t>到国内反光膜</w:t>
      </w:r>
      <w:r>
        <w:rPr>
          <w:rFonts w:ascii="Times New Roman"/>
        </w:rPr>
        <w:t>相关标准</w:t>
      </w:r>
      <w:r>
        <w:rPr>
          <w:rFonts w:hint="eastAsia" w:ascii="Times New Roman"/>
        </w:rPr>
        <w:t>（如</w:t>
      </w:r>
      <w:r>
        <w:rPr>
          <w:szCs w:val="21"/>
        </w:rPr>
        <w:t>GB/T 18833</w:t>
      </w:r>
      <w:r>
        <w:rPr>
          <w:rFonts w:hint="eastAsia"/>
          <w:szCs w:val="21"/>
        </w:rPr>
        <w:t>《交通</w:t>
      </w:r>
      <w:r>
        <w:rPr>
          <w:szCs w:val="21"/>
        </w:rPr>
        <w:t>反光膜</w:t>
      </w:r>
      <w:r>
        <w:rPr>
          <w:rFonts w:hint="eastAsia"/>
          <w:szCs w:val="21"/>
        </w:rPr>
        <w:t>》等</w:t>
      </w:r>
      <w:r>
        <w:rPr>
          <w:rFonts w:hint="eastAsia" w:ascii="Times New Roman"/>
        </w:rPr>
        <w:t>）中</w:t>
      </w:r>
      <w:r>
        <w:rPr>
          <w:rFonts w:ascii="Times New Roman"/>
        </w:rPr>
        <w:t>已经删除</w:t>
      </w:r>
      <w:r>
        <w:rPr>
          <w:rFonts w:hint="eastAsia" w:ascii="Times New Roman"/>
        </w:rPr>
        <w:t>相关</w:t>
      </w:r>
      <w:r>
        <w:rPr>
          <w:rFonts w:ascii="Times New Roman"/>
        </w:rPr>
        <w:t>要求，在</w:t>
      </w:r>
      <w:r>
        <w:rPr>
          <w:rFonts w:hint="eastAsia" w:ascii="Times New Roman"/>
        </w:rPr>
        <w:t>UN等</w:t>
      </w:r>
      <w:r>
        <w:rPr>
          <w:rFonts w:ascii="Times New Roman"/>
        </w:rPr>
        <w:t>法规中也无相关规定，本次修订时</w:t>
      </w:r>
      <w:r>
        <w:rPr>
          <w:rFonts w:hint="eastAsia" w:ascii="Times New Roman"/>
        </w:rPr>
        <w:t>为</w:t>
      </w:r>
      <w:r>
        <w:rPr>
          <w:rFonts w:ascii="Times New Roman"/>
        </w:rPr>
        <w:t>提升</w:t>
      </w:r>
      <w:r>
        <w:rPr>
          <w:rFonts w:hint="eastAsia" w:ascii="Times New Roman"/>
        </w:rPr>
        <w:t>反射装置</w:t>
      </w:r>
      <w:r>
        <w:rPr>
          <w:rFonts w:ascii="Times New Roman"/>
        </w:rPr>
        <w:t>性能要求的一致性，删除了</w:t>
      </w:r>
      <w:r>
        <w:rPr>
          <w:rFonts w:hint="eastAsia" w:ascii="Times New Roman"/>
        </w:rPr>
        <w:t>该</w:t>
      </w:r>
      <w:r>
        <w:rPr>
          <w:rFonts w:ascii="Times New Roman"/>
        </w:rPr>
        <w:t>要求。</w:t>
      </w:r>
    </w:p>
    <w:p>
      <w:pPr>
        <w:adjustRightInd w:val="0"/>
        <w:snapToGrid w:val="0"/>
        <w:spacing w:line="400" w:lineRule="exact"/>
        <w:ind w:firstLine="420"/>
        <w:rPr>
          <w:szCs w:val="21"/>
        </w:rPr>
      </w:pPr>
      <w:r>
        <w:rPr>
          <w:rFonts w:hint="eastAsia"/>
          <w:szCs w:val="21"/>
        </w:rPr>
        <w:t>（4）修改了“色度性能”。由于反射器</w:t>
      </w:r>
      <w:r>
        <w:rPr>
          <w:szCs w:val="21"/>
        </w:rPr>
        <w:t>、</w:t>
      </w:r>
      <w:r>
        <w:rPr>
          <w:rFonts w:hint="eastAsia"/>
          <w:szCs w:val="21"/>
        </w:rPr>
        <w:t>反光膜</w:t>
      </w:r>
      <w:r>
        <w:rPr>
          <w:szCs w:val="21"/>
        </w:rPr>
        <w:t>型反光标识</w:t>
      </w:r>
      <w:r>
        <w:rPr>
          <w:rFonts w:hint="eastAsia"/>
          <w:szCs w:val="21"/>
        </w:rPr>
        <w:t>、</w:t>
      </w:r>
      <w:r>
        <w:rPr>
          <w:szCs w:val="21"/>
        </w:rPr>
        <w:t>标志板、三角牌都是车辆上的必要安全</w:t>
      </w:r>
      <w:r>
        <w:rPr>
          <w:rFonts w:hint="eastAsia"/>
          <w:szCs w:val="21"/>
        </w:rPr>
        <w:t>光学</w:t>
      </w:r>
      <w:r>
        <w:rPr>
          <w:szCs w:val="21"/>
        </w:rPr>
        <w:t>部件，因此其色度性能</w:t>
      </w:r>
      <w:r>
        <w:rPr>
          <w:rFonts w:hint="eastAsia"/>
          <w:szCs w:val="21"/>
        </w:rPr>
        <w:t>直接</w:t>
      </w:r>
      <w:r>
        <w:rPr>
          <w:szCs w:val="21"/>
        </w:rPr>
        <w:t>引用了</w:t>
      </w:r>
      <w:r>
        <w:rPr>
          <w:rFonts w:hint="eastAsia"/>
          <w:szCs w:val="21"/>
        </w:rPr>
        <w:t>GB 4785中</w:t>
      </w:r>
      <w:r>
        <w:rPr>
          <w:szCs w:val="21"/>
        </w:rPr>
        <w:t>的相关规定。</w:t>
      </w:r>
      <w:r>
        <w:rPr>
          <w:rFonts w:hint="eastAsia"/>
          <w:szCs w:val="21"/>
        </w:rPr>
        <w:t>同时</w:t>
      </w:r>
      <w:r>
        <w:rPr>
          <w:szCs w:val="21"/>
        </w:rPr>
        <w:t>，考虑到橙色在</w:t>
      </w:r>
      <w:r>
        <w:rPr>
          <w:rFonts w:hint="eastAsia"/>
          <w:szCs w:val="21"/>
        </w:rPr>
        <w:t>GB 4785中</w:t>
      </w:r>
      <w:r>
        <w:rPr>
          <w:szCs w:val="21"/>
        </w:rPr>
        <w:t>未做规定，其颜色范围</w:t>
      </w:r>
      <w:r>
        <w:rPr>
          <w:rFonts w:hint="eastAsia"/>
          <w:szCs w:val="21"/>
        </w:rPr>
        <w:t>引用</w:t>
      </w:r>
      <w:r>
        <w:rPr>
          <w:szCs w:val="21"/>
        </w:rPr>
        <w:t>了GB/T 18833</w:t>
      </w:r>
      <w:r>
        <w:rPr>
          <w:rFonts w:hint="eastAsia"/>
          <w:szCs w:val="21"/>
        </w:rPr>
        <w:t>《交通</w:t>
      </w:r>
      <w:r>
        <w:rPr>
          <w:szCs w:val="21"/>
        </w:rPr>
        <w:t>反光膜</w:t>
      </w:r>
      <w:r>
        <w:rPr>
          <w:rFonts w:hint="eastAsia"/>
          <w:szCs w:val="21"/>
        </w:rPr>
        <w:t>》中</w:t>
      </w:r>
      <w:r>
        <w:rPr>
          <w:szCs w:val="21"/>
        </w:rPr>
        <w:t>的相关规定。</w:t>
      </w:r>
    </w:p>
    <w:p>
      <w:pPr>
        <w:pStyle w:val="20"/>
        <w:adjustRightInd w:val="0"/>
        <w:snapToGrid w:val="0"/>
        <w:spacing w:line="400" w:lineRule="exact"/>
        <w:ind w:firstLineChars="0"/>
        <w:rPr>
          <w:rFonts w:ascii="Times New Roman"/>
          <w:szCs w:val="22"/>
        </w:rPr>
      </w:pPr>
      <w:r>
        <w:rPr>
          <w:rFonts w:hint="eastAsia" w:ascii="Times New Roman"/>
          <w:szCs w:val="22"/>
        </w:rPr>
        <w:t>（5）修改</w:t>
      </w:r>
      <w:r>
        <w:rPr>
          <w:rFonts w:ascii="Times New Roman"/>
          <w:szCs w:val="22"/>
        </w:rPr>
        <w:t>了</w:t>
      </w:r>
      <w:r>
        <w:rPr>
          <w:rFonts w:hint="eastAsia" w:ascii="Times New Roman"/>
          <w:szCs w:val="22"/>
        </w:rPr>
        <w:t>反光膜</w:t>
      </w:r>
      <w:r>
        <w:rPr>
          <w:rFonts w:ascii="Times New Roman"/>
          <w:szCs w:val="22"/>
        </w:rPr>
        <w:t>型反光标识的</w:t>
      </w:r>
      <w:r>
        <w:rPr>
          <w:rFonts w:hint="eastAsia" w:ascii="Times New Roman"/>
          <w:szCs w:val="22"/>
        </w:rPr>
        <w:t>“耐溶剂</w:t>
      </w:r>
      <w:r>
        <w:rPr>
          <w:rFonts w:ascii="Times New Roman"/>
          <w:szCs w:val="22"/>
        </w:rPr>
        <w:t>性能</w:t>
      </w:r>
      <w:r>
        <w:rPr>
          <w:rFonts w:hint="eastAsia" w:ascii="Times New Roman"/>
          <w:szCs w:val="22"/>
        </w:rPr>
        <w:t>”。将反光膜</w:t>
      </w:r>
      <w:r>
        <w:rPr>
          <w:rFonts w:ascii="Times New Roman"/>
          <w:szCs w:val="22"/>
        </w:rPr>
        <w:t>型反光标识的</w:t>
      </w:r>
      <w:r>
        <w:rPr>
          <w:rFonts w:hint="eastAsia" w:ascii="Times New Roman"/>
          <w:szCs w:val="22"/>
        </w:rPr>
        <w:t>耐溶剂</w:t>
      </w:r>
      <w:r>
        <w:rPr>
          <w:rFonts w:ascii="Times New Roman"/>
          <w:szCs w:val="22"/>
        </w:rPr>
        <w:t>试验的溶剂类型</w:t>
      </w:r>
      <w:r>
        <w:rPr>
          <w:rFonts w:hint="eastAsia" w:ascii="Times New Roman"/>
          <w:szCs w:val="22"/>
        </w:rPr>
        <w:t>与反射器</w:t>
      </w:r>
      <w:r>
        <w:rPr>
          <w:rFonts w:ascii="Times New Roman"/>
          <w:szCs w:val="22"/>
        </w:rPr>
        <w:t>、</w:t>
      </w:r>
      <w:r>
        <w:rPr>
          <w:rFonts w:hint="eastAsia" w:ascii="Times New Roman"/>
          <w:szCs w:val="22"/>
        </w:rPr>
        <w:t>标志板</w:t>
      </w:r>
      <w:r>
        <w:rPr>
          <w:rFonts w:ascii="Times New Roman"/>
          <w:szCs w:val="22"/>
        </w:rPr>
        <w:t>、三角牌</w:t>
      </w:r>
      <w:r>
        <w:rPr>
          <w:rFonts w:hint="eastAsia" w:ascii="Times New Roman"/>
          <w:szCs w:val="22"/>
        </w:rPr>
        <w:t>的</w:t>
      </w:r>
      <w:r>
        <w:rPr>
          <w:rFonts w:ascii="Times New Roman"/>
          <w:szCs w:val="22"/>
        </w:rPr>
        <w:t>要求进行了统一。</w:t>
      </w:r>
    </w:p>
    <w:p>
      <w:pPr>
        <w:adjustRightInd w:val="0"/>
        <w:snapToGrid w:val="0"/>
        <w:spacing w:line="400" w:lineRule="exact"/>
        <w:ind w:firstLine="420"/>
        <w:rPr>
          <w:szCs w:val="21"/>
        </w:rPr>
      </w:pPr>
      <w:r>
        <w:rPr>
          <w:rFonts w:hint="eastAsia"/>
          <w:szCs w:val="21"/>
        </w:rPr>
        <w:t>4、关于“产品特殊要求”</w:t>
      </w:r>
      <w:r>
        <w:rPr>
          <w:szCs w:val="21"/>
        </w:rPr>
        <w:t>（</w:t>
      </w:r>
      <w:r>
        <w:rPr>
          <w:rFonts w:hint="eastAsia"/>
          <w:szCs w:val="21"/>
        </w:rPr>
        <w:t>4.2</w:t>
      </w:r>
      <w:r>
        <w:rPr>
          <w:szCs w:val="21"/>
        </w:rPr>
        <w:t>）</w:t>
      </w:r>
    </w:p>
    <w:p>
      <w:pPr>
        <w:adjustRightInd w:val="0"/>
        <w:snapToGrid w:val="0"/>
        <w:spacing w:line="400" w:lineRule="exact"/>
        <w:ind w:firstLine="420"/>
        <w:rPr>
          <w:szCs w:val="21"/>
        </w:rPr>
      </w:pPr>
      <w:r>
        <w:rPr>
          <w:rFonts w:hint="eastAsia"/>
          <w:szCs w:val="21"/>
        </w:rPr>
        <w:t>考虑到反射器、反光标识、标志板和三角牌自身产品特点，部分性能要求不具有普遍使用性，以产品特殊要求分别提出，延续GB 11564、GB 19151、GB 23254、GB 25990中的产品要求。</w:t>
      </w:r>
    </w:p>
    <w:p>
      <w:pPr>
        <w:adjustRightInd w:val="0"/>
        <w:snapToGrid w:val="0"/>
        <w:spacing w:line="400" w:lineRule="exact"/>
        <w:ind w:firstLine="420"/>
        <w:rPr>
          <w:szCs w:val="21"/>
        </w:rPr>
      </w:pPr>
      <w:r>
        <w:rPr>
          <w:szCs w:val="21"/>
        </w:rPr>
        <w:t>5</w:t>
      </w:r>
      <w:r>
        <w:rPr>
          <w:rFonts w:hint="eastAsia"/>
          <w:szCs w:val="21"/>
        </w:rPr>
        <w:t>、关于“材料特殊</w:t>
      </w:r>
      <w:r>
        <w:rPr>
          <w:szCs w:val="21"/>
        </w:rPr>
        <w:t>要求</w:t>
      </w:r>
      <w:r>
        <w:rPr>
          <w:rFonts w:hint="eastAsia"/>
          <w:szCs w:val="21"/>
        </w:rPr>
        <w:t>”（4</w:t>
      </w:r>
      <w:r>
        <w:rPr>
          <w:szCs w:val="21"/>
        </w:rPr>
        <w:t>.3</w:t>
      </w:r>
      <w:r>
        <w:rPr>
          <w:rFonts w:hint="eastAsia"/>
          <w:szCs w:val="21"/>
        </w:rPr>
        <w:t>）</w:t>
      </w:r>
    </w:p>
    <w:p>
      <w:pPr>
        <w:adjustRightInd w:val="0"/>
        <w:snapToGrid w:val="0"/>
        <w:spacing w:line="400" w:lineRule="exact"/>
        <w:ind w:firstLine="420"/>
        <w:rPr>
          <w:szCs w:val="21"/>
        </w:rPr>
      </w:pPr>
      <w:r>
        <w:rPr>
          <w:rFonts w:hint="eastAsia"/>
          <w:szCs w:val="21"/>
        </w:rPr>
        <w:t>考虑</w:t>
      </w:r>
      <w:r>
        <w:rPr>
          <w:szCs w:val="21"/>
        </w:rPr>
        <w:t>到反射器型反光标识</w:t>
      </w:r>
      <w:r>
        <w:rPr>
          <w:rFonts w:hint="eastAsia"/>
          <w:szCs w:val="21"/>
        </w:rPr>
        <w:t>安装</w:t>
      </w:r>
      <w:r>
        <w:rPr>
          <w:szCs w:val="21"/>
        </w:rPr>
        <w:t>使用面积</w:t>
      </w:r>
      <w:r>
        <w:rPr>
          <w:rFonts w:hint="eastAsia"/>
          <w:szCs w:val="21"/>
        </w:rPr>
        <w:t>与反光膜</w:t>
      </w:r>
      <w:r>
        <w:rPr>
          <w:szCs w:val="21"/>
        </w:rPr>
        <w:t>型车身反光标识一致，</w:t>
      </w:r>
      <w:r>
        <w:rPr>
          <w:rFonts w:hint="eastAsia"/>
          <w:szCs w:val="21"/>
        </w:rPr>
        <w:t>为提升</w:t>
      </w:r>
      <w:r>
        <w:rPr>
          <w:szCs w:val="21"/>
        </w:rPr>
        <w:t>其耐用性，</w:t>
      </w:r>
      <w:r>
        <w:rPr>
          <w:rFonts w:hint="eastAsia"/>
          <w:szCs w:val="21"/>
        </w:rPr>
        <w:t>规定</w:t>
      </w:r>
      <w:r>
        <w:rPr>
          <w:szCs w:val="21"/>
        </w:rPr>
        <w:t>用于制作反射器型车身反光标识的反射单元</w:t>
      </w:r>
      <w:r>
        <w:rPr>
          <w:rFonts w:hint="eastAsia"/>
          <w:szCs w:val="21"/>
        </w:rPr>
        <w:t>，</w:t>
      </w:r>
      <w:r>
        <w:rPr>
          <w:szCs w:val="21"/>
        </w:rPr>
        <w:t>进行</w:t>
      </w:r>
      <w:r>
        <w:rPr>
          <w:rFonts w:hint="eastAsia"/>
          <w:szCs w:val="21"/>
        </w:rPr>
        <w:t>与</w:t>
      </w:r>
      <w:r>
        <w:rPr>
          <w:szCs w:val="21"/>
        </w:rPr>
        <w:t>反光膜型车身反光标识</w:t>
      </w:r>
      <w:r>
        <w:rPr>
          <w:rFonts w:hint="eastAsia"/>
          <w:szCs w:val="21"/>
        </w:rPr>
        <w:t>一致</w:t>
      </w:r>
      <w:r>
        <w:rPr>
          <w:szCs w:val="21"/>
        </w:rPr>
        <w:t>的耐候性能试验。</w:t>
      </w:r>
      <w:r>
        <w:rPr>
          <w:rFonts w:hint="eastAsia"/>
          <w:szCs w:val="21"/>
        </w:rPr>
        <w:t>同时</w:t>
      </w:r>
      <w:r>
        <w:rPr>
          <w:szCs w:val="21"/>
        </w:rPr>
        <w:t>，</w:t>
      </w:r>
      <w:r>
        <w:rPr>
          <w:rFonts w:hint="eastAsia"/>
          <w:szCs w:val="21"/>
        </w:rPr>
        <w:t>用于标志板</w:t>
      </w:r>
      <w:r>
        <w:rPr>
          <w:szCs w:val="21"/>
        </w:rPr>
        <w:t>的反光膜</w:t>
      </w:r>
      <w:r>
        <w:rPr>
          <w:rFonts w:hint="eastAsia"/>
          <w:szCs w:val="21"/>
        </w:rPr>
        <w:t>也</w:t>
      </w:r>
      <w:r>
        <w:rPr>
          <w:szCs w:val="21"/>
        </w:rPr>
        <w:t>应与</w:t>
      </w:r>
      <w:r>
        <w:rPr>
          <w:rFonts w:hint="eastAsia"/>
          <w:szCs w:val="21"/>
        </w:rPr>
        <w:t>车身</w:t>
      </w:r>
      <w:r>
        <w:rPr>
          <w:szCs w:val="21"/>
        </w:rPr>
        <w:t>反光标识一样进行耐候性能试验。</w:t>
      </w:r>
    </w:p>
    <w:p>
      <w:pPr>
        <w:adjustRightInd w:val="0"/>
        <w:snapToGrid w:val="0"/>
        <w:spacing w:line="400" w:lineRule="exact"/>
        <w:ind w:firstLine="420"/>
        <w:rPr>
          <w:szCs w:val="21"/>
        </w:rPr>
      </w:pPr>
      <w:r>
        <w:rPr>
          <w:rFonts w:hint="eastAsia"/>
          <w:szCs w:val="21"/>
        </w:rPr>
        <w:t>6、关于“试验方法”（第6章）</w:t>
      </w:r>
    </w:p>
    <w:p>
      <w:pPr>
        <w:adjustRightInd w:val="0"/>
        <w:snapToGrid w:val="0"/>
        <w:spacing w:line="400" w:lineRule="exact"/>
        <w:ind w:firstLine="420"/>
        <w:rPr>
          <w:szCs w:val="21"/>
        </w:rPr>
      </w:pPr>
      <w:r>
        <w:rPr>
          <w:rFonts w:hint="eastAsia"/>
          <w:szCs w:val="21"/>
        </w:rPr>
        <w:t>根据不同</w:t>
      </w:r>
      <w:r>
        <w:rPr>
          <w:szCs w:val="21"/>
        </w:rPr>
        <w:t>产品的性能要求，对原标准的试验方法进行整合。</w:t>
      </w:r>
    </w:p>
    <w:p>
      <w:pPr>
        <w:adjustRightInd w:val="0"/>
        <w:snapToGrid w:val="0"/>
        <w:spacing w:line="400" w:lineRule="exact"/>
        <w:ind w:firstLine="420"/>
        <w:rPr>
          <w:szCs w:val="21"/>
        </w:rPr>
      </w:pPr>
      <w:r>
        <w:rPr>
          <w:szCs w:val="21"/>
        </w:rPr>
        <w:t>7</w:t>
      </w:r>
      <w:r>
        <w:rPr>
          <w:rFonts w:hint="eastAsia"/>
          <w:szCs w:val="21"/>
        </w:rPr>
        <w:t>、修改了“配备</w:t>
      </w:r>
      <w:r>
        <w:rPr>
          <w:szCs w:val="21"/>
        </w:rPr>
        <w:t>和</w:t>
      </w:r>
      <w:r>
        <w:rPr>
          <w:rFonts w:hint="eastAsia"/>
          <w:szCs w:val="21"/>
        </w:rPr>
        <w:t>安装要求”（第7章）</w:t>
      </w:r>
    </w:p>
    <w:p>
      <w:pPr>
        <w:adjustRightInd w:val="0"/>
        <w:snapToGrid w:val="0"/>
        <w:spacing w:line="400" w:lineRule="exact"/>
        <w:ind w:firstLine="420"/>
      </w:pPr>
      <w:r>
        <w:rPr>
          <w:rFonts w:hint="eastAsia"/>
        </w:rPr>
        <w:t xml:space="preserve">在GB 4785、GB </w:t>
      </w:r>
      <w:r>
        <w:t>18100.1</w:t>
      </w:r>
      <w:r>
        <w:rPr>
          <w:rFonts w:hint="eastAsia"/>
        </w:rPr>
        <w:t xml:space="preserve">、GB </w:t>
      </w:r>
      <w:r>
        <w:t>18100.2</w:t>
      </w:r>
      <w:r>
        <w:rPr>
          <w:rFonts w:hint="eastAsia"/>
        </w:rPr>
        <w:t xml:space="preserve">、GB </w:t>
      </w:r>
      <w:r>
        <w:t>18100.3</w:t>
      </w:r>
      <w:r>
        <w:rPr>
          <w:rFonts w:hint="eastAsia"/>
        </w:rPr>
        <w:t>标准</w:t>
      </w:r>
      <w:r>
        <w:t>中，已经</w:t>
      </w:r>
      <w:r>
        <w:rPr>
          <w:rFonts w:hint="eastAsia"/>
        </w:rPr>
        <w:t>明确</w:t>
      </w:r>
      <w:r>
        <w:t>了</w:t>
      </w:r>
      <w:r>
        <w:rPr>
          <w:rFonts w:hint="eastAsia"/>
        </w:rPr>
        <w:t>I</w:t>
      </w:r>
      <w:r>
        <w:t>A</w:t>
      </w:r>
      <w:r>
        <w:rPr>
          <w:rFonts w:hint="eastAsia"/>
        </w:rPr>
        <w:t>类、I</w:t>
      </w:r>
      <w:r>
        <w:t>B</w:t>
      </w:r>
      <w:r>
        <w:rPr>
          <w:rFonts w:hint="eastAsia"/>
        </w:rPr>
        <w:t>类、ⅢA类、ⅢB类、IVA类反射器</w:t>
      </w:r>
      <w:r>
        <w:t>的</w:t>
      </w:r>
      <w:r>
        <w:rPr>
          <w:rFonts w:hint="eastAsia"/>
        </w:rPr>
        <w:t>配备</w:t>
      </w:r>
      <w:r>
        <w:t>和安装</w:t>
      </w:r>
      <w:r>
        <w:rPr>
          <w:rFonts w:hint="eastAsia"/>
        </w:rPr>
        <w:t>要求</w:t>
      </w:r>
      <w:r>
        <w:t>，</w:t>
      </w:r>
      <w:r>
        <w:rPr>
          <w:rFonts w:hint="eastAsia"/>
        </w:rPr>
        <w:t>本标准直接</w:t>
      </w:r>
      <w:r>
        <w:t>引用了相关要求</w:t>
      </w:r>
      <w:r>
        <w:rPr>
          <w:rFonts w:hint="eastAsia"/>
        </w:rPr>
        <w:t>；GB 20300中</w:t>
      </w:r>
      <w:r>
        <w:t>规定了</w:t>
      </w:r>
      <w:r>
        <w:rPr>
          <w:rFonts w:hint="eastAsia"/>
        </w:rPr>
        <w:t>B类</w:t>
      </w:r>
      <w:r>
        <w:t>反光标识的配备和安装要求，本标准</w:t>
      </w:r>
      <w:r>
        <w:rPr>
          <w:rFonts w:hint="eastAsia"/>
        </w:rPr>
        <w:t>也</w:t>
      </w:r>
      <w:r>
        <w:t>直接引用了相关要求，</w:t>
      </w:r>
      <w:r>
        <w:rPr>
          <w:rFonts w:hint="eastAsia"/>
        </w:rPr>
        <w:t>并</w:t>
      </w:r>
      <w:r>
        <w:t>细化了粘贴要求</w:t>
      </w:r>
      <w:r>
        <w:rPr>
          <w:rFonts w:hint="eastAsia"/>
        </w:rPr>
        <w:t>、</w:t>
      </w:r>
      <w:r>
        <w:t>粘贴示例可参照</w:t>
      </w:r>
      <w:r>
        <w:rPr>
          <w:rFonts w:hint="eastAsia"/>
        </w:rPr>
        <w:t>标准附录D；对于尚无</w:t>
      </w:r>
      <w:r>
        <w:t>标准规定安装</w:t>
      </w:r>
      <w:r>
        <w:rPr>
          <w:rFonts w:hint="eastAsia"/>
        </w:rPr>
        <w:t>和</w:t>
      </w:r>
      <w:r>
        <w:t>配备要求的反射器型反光标识、</w:t>
      </w:r>
      <w:r>
        <w:rPr>
          <w:rFonts w:hint="eastAsia"/>
        </w:rPr>
        <w:t>A类</w:t>
      </w:r>
      <w:r>
        <w:t>反光膜型反光标识</w:t>
      </w:r>
      <w:r>
        <w:rPr>
          <w:rFonts w:hint="eastAsia"/>
        </w:rPr>
        <w:t>、</w:t>
      </w:r>
      <w:r>
        <w:t>标志板</w:t>
      </w:r>
      <w:r>
        <w:rPr>
          <w:rFonts w:hint="eastAsia"/>
        </w:rPr>
        <w:t>，</w:t>
      </w:r>
      <w:r>
        <w:t>标准</w:t>
      </w:r>
      <w:r>
        <w:rPr>
          <w:rFonts w:hint="eastAsia"/>
        </w:rPr>
        <w:t>通过</w:t>
      </w:r>
      <w:r>
        <w:t>规范性附录</w:t>
      </w:r>
      <w:r>
        <w:rPr>
          <w:rFonts w:hint="eastAsia"/>
        </w:rPr>
        <w:t>（附录D）的</w:t>
      </w:r>
      <w:r>
        <w:t>形式，规定了</w:t>
      </w:r>
      <w:r>
        <w:rPr>
          <w:rFonts w:hint="eastAsia"/>
        </w:rPr>
        <w:t>需要粘贴</w:t>
      </w:r>
      <w:r>
        <w:t>或安装的对应车辆类型以及</w:t>
      </w:r>
      <w:r>
        <w:rPr>
          <w:rFonts w:hint="eastAsia"/>
        </w:rPr>
        <w:t>粘贴</w:t>
      </w:r>
      <w:r>
        <w:t>或安装</w:t>
      </w:r>
      <w:r>
        <w:rPr>
          <w:rFonts w:hint="eastAsia"/>
        </w:rPr>
        <w:t>基本</w:t>
      </w:r>
      <w:r>
        <w:t>要求、典型车辆安装示例等</w:t>
      </w:r>
      <w:r>
        <w:rPr>
          <w:rFonts w:hint="eastAsia"/>
        </w:rPr>
        <w:t>；对于</w:t>
      </w:r>
      <w:r>
        <w:t>三角牌</w:t>
      </w:r>
      <w:r>
        <w:rPr>
          <w:rFonts w:hint="eastAsia"/>
        </w:rPr>
        <w:t>，明确</w:t>
      </w:r>
      <w:r>
        <w:t>三角牌</w:t>
      </w:r>
      <w:r>
        <w:rPr>
          <w:rFonts w:hint="eastAsia"/>
        </w:rPr>
        <w:t>携带</w:t>
      </w:r>
      <w:r>
        <w:t>和使用要求</w:t>
      </w:r>
      <w:r>
        <w:rPr>
          <w:rFonts w:hint="eastAsia"/>
        </w:rPr>
        <w:t>。</w:t>
      </w:r>
      <w:r>
        <w:t>其中</w:t>
      </w:r>
      <w:r>
        <w:rPr>
          <w:rFonts w:hint="eastAsia"/>
        </w:rPr>
        <w:t>，反光</w:t>
      </w:r>
      <w:r>
        <w:t>标识</w:t>
      </w:r>
      <w:r>
        <w:rPr>
          <w:rFonts w:hint="eastAsia"/>
        </w:rPr>
        <w:t>、</w:t>
      </w:r>
      <w:r>
        <w:t>标志板的粘贴</w:t>
      </w:r>
      <w:r>
        <w:rPr>
          <w:rFonts w:hint="eastAsia"/>
        </w:rPr>
        <w:t>或安装</w:t>
      </w:r>
      <w:r>
        <w:t>要求主要参照了</w:t>
      </w:r>
      <w:r>
        <w:rPr>
          <w:rFonts w:hint="eastAsia"/>
        </w:rPr>
        <w:t>GB 7258及</w:t>
      </w:r>
      <w:r>
        <w:t>原</w:t>
      </w:r>
      <w:r>
        <w:rPr>
          <w:rFonts w:hint="eastAsia"/>
        </w:rPr>
        <w:t>GB 25990中</w:t>
      </w:r>
      <w:r>
        <w:t>的相关要求。</w:t>
      </w:r>
    </w:p>
    <w:p>
      <w:pPr>
        <w:adjustRightInd w:val="0"/>
        <w:snapToGrid w:val="0"/>
        <w:spacing w:line="400" w:lineRule="exact"/>
        <w:ind w:firstLine="420"/>
        <w:rPr>
          <w:szCs w:val="21"/>
        </w:rPr>
      </w:pPr>
      <w:r>
        <w:rPr>
          <w:szCs w:val="21"/>
        </w:rPr>
        <w:t>8</w:t>
      </w:r>
      <w:r>
        <w:rPr>
          <w:rFonts w:hint="eastAsia"/>
          <w:szCs w:val="21"/>
        </w:rPr>
        <w:t>、关于“检验规则”（第8章）</w:t>
      </w:r>
    </w:p>
    <w:p>
      <w:pPr>
        <w:pStyle w:val="20"/>
        <w:adjustRightInd w:val="0"/>
        <w:snapToGrid w:val="0"/>
        <w:spacing w:line="400" w:lineRule="exact"/>
        <w:ind w:left="420" w:firstLine="0" w:firstLineChars="0"/>
        <w:rPr>
          <w:szCs w:val="21"/>
        </w:rPr>
      </w:pPr>
      <w:r>
        <w:rPr>
          <w:rFonts w:hint="eastAsia" w:ascii="Times New Roman"/>
          <w:szCs w:val="22"/>
        </w:rPr>
        <w:t>延续</w:t>
      </w:r>
      <w:r>
        <w:rPr>
          <w:rFonts w:ascii="Times New Roman"/>
          <w:szCs w:val="22"/>
        </w:rPr>
        <w:t>了原标准中</w:t>
      </w:r>
      <w:r>
        <w:rPr>
          <w:szCs w:val="21"/>
        </w:rPr>
        <w:t>反射器、</w:t>
      </w:r>
      <w:r>
        <w:rPr>
          <w:rFonts w:hint="eastAsia"/>
          <w:szCs w:val="21"/>
        </w:rPr>
        <w:t>反光标识</w:t>
      </w:r>
      <w:r>
        <w:rPr>
          <w:szCs w:val="21"/>
        </w:rPr>
        <w:t>、标志板、三角牌</w:t>
      </w:r>
      <w:r>
        <w:rPr>
          <w:rFonts w:hint="eastAsia"/>
          <w:szCs w:val="21"/>
        </w:rPr>
        <w:t>的</w:t>
      </w:r>
      <w:r>
        <w:rPr>
          <w:szCs w:val="21"/>
        </w:rPr>
        <w:t>检验要求。</w:t>
      </w:r>
    </w:p>
    <w:p>
      <w:pPr>
        <w:autoSpaceDE w:val="0"/>
        <w:autoSpaceDN w:val="0"/>
        <w:adjustRightInd w:val="0"/>
        <w:spacing w:line="400" w:lineRule="exact"/>
        <w:ind w:firstLine="480"/>
        <w:jc w:val="left"/>
        <w:outlineLvl w:val="0"/>
        <w:rPr>
          <w:rFonts w:eastAsia="黑体"/>
          <w:bCs/>
          <w:color w:val="000000"/>
          <w:kern w:val="0"/>
          <w:sz w:val="24"/>
        </w:rPr>
      </w:pPr>
      <w:bookmarkStart w:id="21" w:name="_Toc64898477"/>
      <w:r>
        <w:rPr>
          <w:rFonts w:hint="eastAsia" w:eastAsia="黑体"/>
          <w:bCs/>
          <w:color w:val="000000"/>
          <w:kern w:val="0"/>
          <w:sz w:val="24"/>
        </w:rPr>
        <w:t>三、与有关法律、行政法规和其他标准的关系</w:t>
      </w:r>
      <w:bookmarkEnd w:id="21"/>
    </w:p>
    <w:p>
      <w:pPr>
        <w:spacing w:line="400" w:lineRule="exact"/>
        <w:ind w:firstLine="420"/>
      </w:pPr>
      <w:r>
        <w:rPr>
          <w:rFonts w:hint="eastAsia"/>
        </w:rPr>
        <w:t>本标准是我国汽车主动安全标准的重要内容之一，是贯彻落实中华人民共和国工业和信息化部令第5</w:t>
      </w:r>
      <w:r>
        <w:t>0</w:t>
      </w:r>
      <w:r>
        <w:rPr>
          <w:rFonts w:hint="eastAsia"/>
        </w:rPr>
        <w:t>号《道路机动车辆生产企业及产品准入管理办法》和中华人民共和国工业和信息化部公告2</w:t>
      </w:r>
      <w:r>
        <w:t>019</w:t>
      </w:r>
      <w:r>
        <w:rPr>
          <w:rFonts w:hint="eastAsia"/>
        </w:rPr>
        <w:t>年第1号《道路机动车辆生产企业准入审查要求和道路机动车辆产品准入审查要求》等法规、政策的重要配套标准。本标准与G</w:t>
      </w:r>
      <w:r>
        <w:t>B 4785-2019</w:t>
      </w:r>
      <w:r>
        <w:rPr>
          <w:rFonts w:hint="eastAsia"/>
        </w:rPr>
        <w:t>《汽车及挂车外部照明和光信号装置的安装规定》标准构成了汽车灯光标准体系的组成部分，</w:t>
      </w:r>
      <w:r>
        <w:t>与</w:t>
      </w:r>
      <w:r>
        <w:rPr>
          <w:rFonts w:hint="eastAsia"/>
        </w:rPr>
        <w:t>GB 7258《机动车</w:t>
      </w:r>
      <w:r>
        <w:t>运行安全技术条件</w:t>
      </w:r>
      <w:r>
        <w:rPr>
          <w:rFonts w:hint="eastAsia"/>
        </w:rPr>
        <w:t>》中</w:t>
      </w:r>
      <w:r>
        <w:t>的相关要求相</w:t>
      </w:r>
      <w:r>
        <w:rPr>
          <w:rFonts w:hint="eastAsia"/>
        </w:rPr>
        <w:t>一致。与现行相关法律、法规、规章及相关标准没有冲突或矛盾。</w:t>
      </w:r>
    </w:p>
    <w:p>
      <w:pPr>
        <w:autoSpaceDE w:val="0"/>
        <w:autoSpaceDN w:val="0"/>
        <w:adjustRightInd w:val="0"/>
        <w:spacing w:line="400" w:lineRule="exact"/>
        <w:ind w:firstLine="480"/>
        <w:jc w:val="left"/>
        <w:outlineLvl w:val="0"/>
        <w:rPr>
          <w:rFonts w:eastAsia="黑体"/>
          <w:bCs/>
          <w:color w:val="000000"/>
          <w:kern w:val="0"/>
          <w:sz w:val="24"/>
        </w:rPr>
      </w:pPr>
      <w:bookmarkStart w:id="22" w:name="_Toc64898478"/>
      <w:r>
        <w:rPr>
          <w:rFonts w:hint="eastAsia" w:eastAsia="黑体"/>
          <w:bCs/>
          <w:color w:val="000000"/>
          <w:kern w:val="0"/>
          <w:sz w:val="24"/>
        </w:rPr>
        <w:t>四、与国际标准化组织、其他国家或者地区有关法律法规和标准的比对分析</w:t>
      </w:r>
      <w:bookmarkEnd w:id="22"/>
    </w:p>
    <w:p>
      <w:pPr>
        <w:pStyle w:val="20"/>
        <w:adjustRightInd w:val="0"/>
        <w:snapToGrid w:val="0"/>
        <w:spacing w:line="400" w:lineRule="exact"/>
        <w:ind w:firstLineChars="0"/>
        <w:rPr>
          <w:rFonts w:ascii="Times New Roman"/>
          <w:szCs w:val="21"/>
        </w:rPr>
      </w:pPr>
      <w:r>
        <w:rPr>
          <w:rFonts w:hint="eastAsia" w:ascii="Times New Roman"/>
          <w:szCs w:val="21"/>
        </w:rPr>
        <w:t>本标准对应于联合国法规U</w:t>
      </w:r>
      <w:r>
        <w:rPr>
          <w:rFonts w:ascii="Times New Roman"/>
          <w:szCs w:val="21"/>
        </w:rPr>
        <w:t xml:space="preserve">N </w:t>
      </w:r>
      <w:r>
        <w:rPr>
          <w:rFonts w:hint="eastAsia" w:ascii="Times New Roman"/>
          <w:szCs w:val="21"/>
        </w:rPr>
        <w:t>R</w:t>
      </w:r>
      <w:r>
        <w:rPr>
          <w:rFonts w:ascii="Times New Roman"/>
          <w:szCs w:val="21"/>
        </w:rPr>
        <w:t>egulation No.150</w:t>
      </w:r>
      <w:r>
        <w:rPr>
          <w:rFonts w:hint="eastAsia" w:ascii="Times New Roman"/>
          <w:szCs w:val="21"/>
        </w:rPr>
        <w:t>《机动车及</w:t>
      </w:r>
      <w:r>
        <w:rPr>
          <w:rFonts w:ascii="Times New Roman"/>
          <w:szCs w:val="21"/>
        </w:rPr>
        <w:t>挂车</w:t>
      </w:r>
      <w:r>
        <w:rPr>
          <w:rFonts w:hint="eastAsia" w:ascii="Times New Roman"/>
          <w:szCs w:val="21"/>
        </w:rPr>
        <w:t>回复</w:t>
      </w:r>
      <w:r>
        <w:rPr>
          <w:rFonts w:ascii="Times New Roman"/>
          <w:szCs w:val="21"/>
        </w:rPr>
        <w:t>反射装置</w:t>
      </w:r>
      <w:r>
        <w:rPr>
          <w:rFonts w:hint="eastAsia" w:ascii="Times New Roman"/>
          <w:szCs w:val="21"/>
        </w:rPr>
        <w:t>》、美国联邦</w:t>
      </w:r>
      <w:r>
        <w:rPr>
          <w:rFonts w:ascii="Times New Roman"/>
          <w:szCs w:val="21"/>
        </w:rPr>
        <w:t>法规CFR</w:t>
      </w:r>
      <w:r>
        <w:rPr>
          <w:rFonts w:hint="eastAsia" w:ascii="Times New Roman"/>
          <w:szCs w:val="21"/>
        </w:rPr>
        <w:t>§</w:t>
      </w:r>
      <w:r>
        <w:rPr>
          <w:rFonts w:ascii="Times New Roman"/>
          <w:szCs w:val="21"/>
        </w:rPr>
        <w:t>571.108</w:t>
      </w:r>
      <w:r>
        <w:rPr>
          <w:rFonts w:hint="eastAsia" w:ascii="Times New Roman"/>
          <w:szCs w:val="21"/>
        </w:rPr>
        <w:t>《灯具、回复反射装置和关联设备》。主要技术内容差异如下：</w:t>
      </w:r>
    </w:p>
    <w:p>
      <w:pPr>
        <w:pStyle w:val="20"/>
        <w:numPr>
          <w:ilvl w:val="0"/>
          <w:numId w:val="5"/>
        </w:numPr>
        <w:adjustRightInd w:val="0"/>
        <w:snapToGrid w:val="0"/>
        <w:spacing w:line="400" w:lineRule="exact"/>
        <w:ind w:firstLineChars="0"/>
        <w:rPr>
          <w:rFonts w:ascii="Times New Roman"/>
          <w:szCs w:val="22"/>
        </w:rPr>
      </w:pPr>
      <w:r>
        <w:rPr>
          <w:rFonts w:hint="eastAsia" w:ascii="Times New Roman"/>
          <w:szCs w:val="22"/>
        </w:rPr>
        <w:t>与U</w:t>
      </w:r>
      <w:r>
        <w:rPr>
          <w:rFonts w:ascii="Times New Roman"/>
          <w:szCs w:val="22"/>
        </w:rPr>
        <w:t xml:space="preserve">N </w:t>
      </w:r>
      <w:r>
        <w:rPr>
          <w:rFonts w:hint="eastAsia" w:ascii="Times New Roman"/>
          <w:szCs w:val="22"/>
        </w:rPr>
        <w:t>R</w:t>
      </w:r>
      <w:r>
        <w:rPr>
          <w:rFonts w:ascii="Times New Roman"/>
          <w:szCs w:val="22"/>
        </w:rPr>
        <w:t>egulation No.1</w:t>
      </w:r>
      <w:r>
        <w:rPr>
          <w:rFonts w:hint="eastAsia" w:ascii="Times New Roman"/>
          <w:szCs w:val="22"/>
        </w:rPr>
        <w:t>50相比</w:t>
      </w:r>
      <w:r>
        <w:rPr>
          <w:rFonts w:ascii="Times New Roman"/>
          <w:szCs w:val="22"/>
        </w:rPr>
        <w:t>，增加了</w:t>
      </w:r>
      <w:r>
        <w:rPr>
          <w:rFonts w:hint="eastAsia" w:ascii="Times New Roman"/>
          <w:szCs w:val="22"/>
        </w:rPr>
        <w:t>反射器</w:t>
      </w:r>
      <w:r>
        <w:rPr>
          <w:rFonts w:ascii="Times New Roman"/>
          <w:szCs w:val="22"/>
        </w:rPr>
        <w:t>型反光标识</w:t>
      </w:r>
      <w:r>
        <w:rPr>
          <w:rFonts w:hint="eastAsia" w:ascii="Times New Roman"/>
          <w:szCs w:val="22"/>
        </w:rPr>
        <w:t>，</w:t>
      </w:r>
      <w:r>
        <w:rPr>
          <w:rFonts w:ascii="Times New Roman"/>
          <w:szCs w:val="22"/>
        </w:rPr>
        <w:t>其光度性能与CFR</w:t>
      </w:r>
      <w:r>
        <w:rPr>
          <w:rFonts w:hint="eastAsia" w:ascii="Times New Roman"/>
          <w:szCs w:val="22"/>
        </w:rPr>
        <w:t>§</w:t>
      </w:r>
      <w:r>
        <w:rPr>
          <w:rFonts w:ascii="Times New Roman"/>
          <w:szCs w:val="22"/>
        </w:rPr>
        <w:t>571.108</w:t>
      </w:r>
      <w:r>
        <w:rPr>
          <w:rFonts w:hint="eastAsia" w:ascii="Times New Roman"/>
          <w:szCs w:val="22"/>
        </w:rPr>
        <w:t>中</w:t>
      </w:r>
      <w:r>
        <w:rPr>
          <w:rFonts w:ascii="Times New Roman"/>
          <w:szCs w:val="22"/>
        </w:rPr>
        <w:t>反射器</w:t>
      </w:r>
      <w:r>
        <w:rPr>
          <w:rFonts w:hint="eastAsia" w:ascii="Times New Roman"/>
          <w:szCs w:val="22"/>
        </w:rPr>
        <w:t>型</w:t>
      </w:r>
      <w:r>
        <w:rPr>
          <w:rFonts w:ascii="Times New Roman"/>
          <w:szCs w:val="22"/>
        </w:rPr>
        <w:t>反光标识</w:t>
      </w:r>
      <w:r>
        <w:rPr>
          <w:rFonts w:hint="eastAsia" w:ascii="Times New Roman"/>
          <w:szCs w:val="22"/>
        </w:rPr>
        <w:t>及U</w:t>
      </w:r>
      <w:r>
        <w:rPr>
          <w:rFonts w:ascii="Times New Roman"/>
          <w:szCs w:val="22"/>
        </w:rPr>
        <w:t xml:space="preserve">N </w:t>
      </w:r>
      <w:r>
        <w:rPr>
          <w:rFonts w:hint="eastAsia" w:ascii="Times New Roman"/>
          <w:szCs w:val="22"/>
        </w:rPr>
        <w:t>R</w:t>
      </w:r>
      <w:r>
        <w:rPr>
          <w:rFonts w:ascii="Times New Roman"/>
          <w:szCs w:val="22"/>
        </w:rPr>
        <w:t>egulation No.150</w:t>
      </w:r>
      <w:r>
        <w:rPr>
          <w:rFonts w:hint="eastAsia" w:ascii="Times New Roman"/>
          <w:szCs w:val="22"/>
        </w:rPr>
        <w:t>中</w:t>
      </w:r>
      <w:r>
        <w:rPr>
          <w:rFonts w:ascii="Times New Roman"/>
          <w:szCs w:val="22"/>
        </w:rPr>
        <w:t>反光标识</w:t>
      </w:r>
      <w:r>
        <w:rPr>
          <w:rFonts w:hint="eastAsia" w:ascii="Times New Roman"/>
          <w:szCs w:val="22"/>
        </w:rPr>
        <w:t>光度</w:t>
      </w:r>
      <w:r>
        <w:rPr>
          <w:rFonts w:ascii="Times New Roman"/>
          <w:szCs w:val="22"/>
        </w:rPr>
        <w:t>性能对比见表</w:t>
      </w:r>
      <w:r>
        <w:rPr>
          <w:rFonts w:hint="eastAsia" w:ascii="Times New Roman"/>
          <w:szCs w:val="22"/>
        </w:rPr>
        <w:t>1；</w:t>
      </w:r>
    </w:p>
    <w:p>
      <w:pPr>
        <w:pStyle w:val="20"/>
        <w:numPr>
          <w:ilvl w:val="0"/>
          <w:numId w:val="5"/>
        </w:numPr>
        <w:adjustRightInd w:val="0"/>
        <w:snapToGrid w:val="0"/>
        <w:spacing w:line="400" w:lineRule="exact"/>
        <w:ind w:firstLineChars="0"/>
        <w:rPr>
          <w:rFonts w:ascii="Times New Roman"/>
          <w:szCs w:val="22"/>
        </w:rPr>
      </w:pPr>
      <w:r>
        <w:rPr>
          <w:rFonts w:hint="eastAsia" w:ascii="Times New Roman"/>
          <w:szCs w:val="22"/>
        </w:rPr>
        <w:t>反光膜</w:t>
      </w:r>
      <w:r>
        <w:rPr>
          <w:rFonts w:ascii="Times New Roman"/>
          <w:szCs w:val="22"/>
        </w:rPr>
        <w:t>型</w:t>
      </w:r>
      <w:r>
        <w:rPr>
          <w:rFonts w:hint="eastAsia" w:ascii="Times New Roman"/>
          <w:szCs w:val="22"/>
        </w:rPr>
        <w:t>反光</w:t>
      </w:r>
      <w:r>
        <w:rPr>
          <w:rFonts w:ascii="Times New Roman"/>
          <w:szCs w:val="22"/>
        </w:rPr>
        <w:t>标识</w:t>
      </w:r>
      <w:r>
        <w:rPr>
          <w:rFonts w:hint="eastAsia" w:ascii="Times New Roman"/>
          <w:szCs w:val="22"/>
        </w:rPr>
        <w:t>逆反射</w:t>
      </w:r>
      <w:r>
        <w:rPr>
          <w:rFonts w:ascii="Times New Roman"/>
          <w:szCs w:val="22"/>
        </w:rPr>
        <w:t>系数延续了</w:t>
      </w:r>
      <w:r>
        <w:rPr>
          <w:rFonts w:hint="eastAsia" w:ascii="Times New Roman"/>
          <w:szCs w:val="22"/>
        </w:rPr>
        <w:t>GB 23254要求分为</w:t>
      </w:r>
      <w:r>
        <w:rPr>
          <w:rFonts w:ascii="Times New Roman"/>
          <w:szCs w:val="22"/>
        </w:rPr>
        <w:t>一级和二级</w:t>
      </w:r>
      <w:r>
        <w:rPr>
          <w:rFonts w:hint="eastAsia" w:ascii="Times New Roman"/>
          <w:szCs w:val="22"/>
        </w:rPr>
        <w:t>，具体</w:t>
      </w:r>
      <w:r>
        <w:rPr>
          <w:rFonts w:ascii="Times New Roman"/>
          <w:szCs w:val="22"/>
        </w:rPr>
        <w:t>光度性能要求与CFR</w:t>
      </w:r>
      <w:r>
        <w:rPr>
          <w:rFonts w:hint="eastAsia" w:ascii="Times New Roman"/>
          <w:szCs w:val="22"/>
        </w:rPr>
        <w:t>§</w:t>
      </w:r>
      <w:r>
        <w:rPr>
          <w:rFonts w:ascii="Times New Roman"/>
          <w:szCs w:val="22"/>
        </w:rPr>
        <w:t>571.108</w:t>
      </w:r>
      <w:r>
        <w:rPr>
          <w:rFonts w:hint="eastAsia" w:ascii="Times New Roman"/>
          <w:szCs w:val="22"/>
        </w:rPr>
        <w:t>中</w:t>
      </w:r>
      <w:r>
        <w:rPr>
          <w:rFonts w:ascii="Times New Roman"/>
          <w:szCs w:val="22"/>
        </w:rPr>
        <w:t>反射器</w:t>
      </w:r>
      <w:r>
        <w:rPr>
          <w:rFonts w:hint="eastAsia" w:ascii="Times New Roman"/>
          <w:szCs w:val="22"/>
        </w:rPr>
        <w:t>型</w:t>
      </w:r>
      <w:r>
        <w:rPr>
          <w:rFonts w:ascii="Times New Roman"/>
          <w:szCs w:val="22"/>
        </w:rPr>
        <w:t>反光标识</w:t>
      </w:r>
      <w:r>
        <w:rPr>
          <w:rFonts w:hint="eastAsia" w:ascii="Times New Roman"/>
          <w:szCs w:val="22"/>
        </w:rPr>
        <w:t>及U</w:t>
      </w:r>
      <w:r>
        <w:rPr>
          <w:rFonts w:ascii="Times New Roman"/>
          <w:szCs w:val="22"/>
        </w:rPr>
        <w:t xml:space="preserve">N </w:t>
      </w:r>
      <w:r>
        <w:rPr>
          <w:rFonts w:hint="eastAsia" w:ascii="Times New Roman"/>
          <w:szCs w:val="22"/>
        </w:rPr>
        <w:t>R</w:t>
      </w:r>
      <w:r>
        <w:rPr>
          <w:rFonts w:ascii="Times New Roman"/>
          <w:szCs w:val="22"/>
        </w:rPr>
        <w:t>egulation No.149</w:t>
      </w:r>
      <w:r>
        <w:rPr>
          <w:rFonts w:hint="eastAsia" w:ascii="Times New Roman"/>
          <w:szCs w:val="22"/>
        </w:rPr>
        <w:t>中</w:t>
      </w:r>
      <w:r>
        <w:rPr>
          <w:rFonts w:ascii="Times New Roman"/>
          <w:szCs w:val="22"/>
        </w:rPr>
        <w:t>反光标识的差别</w:t>
      </w:r>
      <w:r>
        <w:rPr>
          <w:rFonts w:hint="eastAsia" w:ascii="Times New Roman"/>
          <w:szCs w:val="22"/>
        </w:rPr>
        <w:t>见</w:t>
      </w:r>
      <w:r>
        <w:rPr>
          <w:rFonts w:ascii="Times New Roman"/>
          <w:szCs w:val="22"/>
        </w:rPr>
        <w:t>表</w:t>
      </w:r>
      <w:r>
        <w:rPr>
          <w:rFonts w:hint="eastAsia" w:ascii="Times New Roman"/>
          <w:szCs w:val="22"/>
        </w:rPr>
        <w:t>2；</w:t>
      </w:r>
    </w:p>
    <w:p>
      <w:pPr>
        <w:pStyle w:val="20"/>
        <w:numPr>
          <w:ilvl w:val="0"/>
          <w:numId w:val="5"/>
        </w:numPr>
        <w:adjustRightInd w:val="0"/>
        <w:snapToGrid w:val="0"/>
        <w:spacing w:line="400" w:lineRule="exact"/>
        <w:ind w:firstLineChars="0"/>
        <w:rPr>
          <w:rFonts w:ascii="Times New Roman"/>
          <w:szCs w:val="21"/>
        </w:rPr>
      </w:pPr>
      <w:r>
        <w:rPr>
          <w:rFonts w:hint="eastAsia" w:ascii="Times New Roman"/>
          <w:szCs w:val="21"/>
        </w:rPr>
        <w:t>增加</w:t>
      </w:r>
      <w:r>
        <w:rPr>
          <w:rFonts w:ascii="Times New Roman"/>
          <w:szCs w:val="21"/>
        </w:rPr>
        <w:t>了</w:t>
      </w:r>
      <w:r>
        <w:rPr>
          <w:rFonts w:hint="eastAsia" w:ascii="Times New Roman"/>
          <w:szCs w:val="21"/>
        </w:rPr>
        <w:t>B类反光</w:t>
      </w:r>
      <w:r>
        <w:rPr>
          <w:rFonts w:ascii="Times New Roman"/>
          <w:szCs w:val="21"/>
        </w:rPr>
        <w:t>标识</w:t>
      </w:r>
      <w:r>
        <w:rPr>
          <w:rFonts w:hint="eastAsia" w:ascii="Times New Roman"/>
          <w:szCs w:val="21"/>
        </w:rPr>
        <w:t>，</w:t>
      </w:r>
      <w:r>
        <w:rPr>
          <w:rFonts w:ascii="Times New Roman"/>
          <w:szCs w:val="21"/>
        </w:rPr>
        <w:t>删除了D</w:t>
      </w:r>
      <w:r>
        <w:rPr>
          <w:rFonts w:hint="eastAsia" w:ascii="Times New Roman"/>
          <w:szCs w:val="21"/>
        </w:rPr>
        <w:t>级、E级</w:t>
      </w:r>
      <w:r>
        <w:rPr>
          <w:rFonts w:ascii="Times New Roman"/>
          <w:szCs w:val="21"/>
        </w:rPr>
        <w:t>反光标识；</w:t>
      </w:r>
    </w:p>
    <w:p>
      <w:pPr>
        <w:pStyle w:val="20"/>
        <w:numPr>
          <w:ilvl w:val="0"/>
          <w:numId w:val="5"/>
        </w:numPr>
        <w:adjustRightInd w:val="0"/>
        <w:snapToGrid w:val="0"/>
        <w:spacing w:line="400" w:lineRule="exact"/>
        <w:ind w:firstLineChars="0"/>
        <w:rPr>
          <w:rFonts w:ascii="Times New Roman"/>
          <w:szCs w:val="21"/>
        </w:rPr>
      </w:pPr>
      <w:r>
        <w:rPr>
          <w:rFonts w:hint="eastAsia" w:ascii="Times New Roman"/>
          <w:szCs w:val="21"/>
        </w:rPr>
        <w:t>由于</w:t>
      </w:r>
      <w:r>
        <w:rPr>
          <w:rFonts w:ascii="Times New Roman"/>
          <w:szCs w:val="21"/>
        </w:rPr>
        <w:t>国内外无相关实体产品</w:t>
      </w:r>
      <w:r>
        <w:rPr>
          <w:rFonts w:hint="eastAsia" w:ascii="Times New Roman"/>
          <w:szCs w:val="21"/>
        </w:rPr>
        <w:t>，本</w:t>
      </w:r>
      <w:r>
        <w:rPr>
          <w:rFonts w:ascii="Times New Roman"/>
          <w:szCs w:val="21"/>
        </w:rPr>
        <w:t>标准未</w:t>
      </w:r>
      <w:r>
        <w:rPr>
          <w:rFonts w:hint="eastAsia" w:ascii="Times New Roman"/>
          <w:szCs w:val="21"/>
        </w:rPr>
        <w:t>包含</w:t>
      </w:r>
      <w:r>
        <w:rPr>
          <w:rFonts w:hint="eastAsia" w:ascii="Times New Roman"/>
          <w:szCs w:val="22"/>
        </w:rPr>
        <w:t>U</w:t>
      </w:r>
      <w:r>
        <w:rPr>
          <w:rFonts w:ascii="Times New Roman"/>
          <w:szCs w:val="22"/>
        </w:rPr>
        <w:t xml:space="preserve">N </w:t>
      </w:r>
      <w:r>
        <w:rPr>
          <w:rFonts w:hint="eastAsia" w:ascii="Times New Roman"/>
          <w:szCs w:val="22"/>
        </w:rPr>
        <w:t>R</w:t>
      </w:r>
      <w:r>
        <w:rPr>
          <w:rFonts w:ascii="Times New Roman"/>
          <w:szCs w:val="22"/>
        </w:rPr>
        <w:t>egulation No.150</w:t>
      </w:r>
      <w:r>
        <w:rPr>
          <w:rFonts w:hint="eastAsia" w:ascii="Times New Roman"/>
          <w:szCs w:val="22"/>
        </w:rPr>
        <w:t>中</w:t>
      </w:r>
      <w:r>
        <w:rPr>
          <w:rFonts w:ascii="Times New Roman"/>
          <w:szCs w:val="22"/>
        </w:rPr>
        <w:t>规定</w:t>
      </w:r>
      <w:r>
        <w:rPr>
          <w:rFonts w:hint="eastAsia" w:ascii="Times New Roman"/>
          <w:szCs w:val="22"/>
        </w:rPr>
        <w:t>2类</w:t>
      </w:r>
      <w:r>
        <w:rPr>
          <w:rFonts w:ascii="Times New Roman"/>
          <w:szCs w:val="22"/>
        </w:rPr>
        <w:t>三角牌、</w:t>
      </w:r>
      <w:r>
        <w:rPr>
          <w:rFonts w:hint="eastAsia" w:ascii="Times New Roman"/>
          <w:szCs w:val="22"/>
        </w:rPr>
        <w:t>F级标志板；</w:t>
      </w:r>
    </w:p>
    <w:p>
      <w:pPr>
        <w:pStyle w:val="20"/>
        <w:numPr>
          <w:ilvl w:val="0"/>
          <w:numId w:val="5"/>
        </w:numPr>
        <w:adjustRightInd w:val="0"/>
        <w:snapToGrid w:val="0"/>
        <w:spacing w:line="400" w:lineRule="exact"/>
        <w:ind w:firstLineChars="0"/>
        <w:rPr>
          <w:rFonts w:ascii="Times New Roman"/>
          <w:szCs w:val="22"/>
        </w:rPr>
      </w:pPr>
      <w:r>
        <w:rPr>
          <w:rFonts w:hint="eastAsia" w:ascii="Times New Roman"/>
          <w:szCs w:val="22"/>
        </w:rPr>
        <w:t>根据国内</w:t>
      </w:r>
      <w:r>
        <w:rPr>
          <w:rFonts w:ascii="Times New Roman"/>
          <w:szCs w:val="22"/>
        </w:rPr>
        <w:t>相关产品技术现状，</w:t>
      </w:r>
      <w:r>
        <w:rPr>
          <w:rFonts w:hint="eastAsia" w:ascii="Times New Roman"/>
          <w:szCs w:val="22"/>
        </w:rPr>
        <w:t>明确标志板的</w:t>
      </w:r>
      <w:r>
        <w:rPr>
          <w:rFonts w:ascii="Times New Roman"/>
          <w:szCs w:val="22"/>
        </w:rPr>
        <w:t>回复反射材料</w:t>
      </w:r>
      <w:r>
        <w:rPr>
          <w:rFonts w:hint="eastAsia" w:ascii="Times New Roman"/>
          <w:szCs w:val="22"/>
        </w:rPr>
        <w:t>为</w:t>
      </w:r>
      <w:r>
        <w:rPr>
          <w:rFonts w:ascii="Times New Roman"/>
          <w:szCs w:val="22"/>
        </w:rPr>
        <w:t>反光膜。</w:t>
      </w:r>
    </w:p>
    <w:p>
      <w:pPr>
        <w:adjustRightInd w:val="0"/>
        <w:snapToGrid w:val="0"/>
        <w:spacing w:line="240" w:lineRule="auto"/>
        <w:ind w:firstLineChars="0"/>
        <w:jc w:val="center"/>
        <w:rPr>
          <w:rFonts w:ascii="宋体" w:hAnsi="宋体" w:cs="Courier"/>
          <w:kern w:val="0"/>
          <w:szCs w:val="21"/>
        </w:rPr>
      </w:pPr>
      <w:r>
        <w:rPr>
          <w:rFonts w:hint="eastAsia" w:ascii="黑体" w:hAnsi="黑体" w:eastAsia="黑体" w:cs="Courier"/>
          <w:kern w:val="0"/>
          <w:szCs w:val="21"/>
        </w:rPr>
        <w:t>表1</w:t>
      </w:r>
      <w:r>
        <w:rPr>
          <w:rFonts w:ascii="黑体" w:hAnsi="黑体" w:eastAsia="黑体" w:cs="Courier"/>
          <w:kern w:val="0"/>
          <w:szCs w:val="21"/>
        </w:rPr>
        <w:t xml:space="preserve"> </w:t>
      </w:r>
      <w:r>
        <w:rPr>
          <w:rFonts w:hint="eastAsia" w:ascii="黑体" w:hAnsi="黑体" w:eastAsia="黑体" w:cs="Courier"/>
          <w:kern w:val="0"/>
          <w:szCs w:val="21"/>
        </w:rPr>
        <w:t>本标准、FMVSS108、R 1</w:t>
      </w:r>
      <w:r>
        <w:rPr>
          <w:rFonts w:ascii="黑体" w:hAnsi="黑体" w:eastAsia="黑体" w:cs="Courier"/>
          <w:kern w:val="0"/>
          <w:szCs w:val="21"/>
        </w:rPr>
        <w:t xml:space="preserve">49 </w:t>
      </w:r>
      <w:r>
        <w:rPr>
          <w:rFonts w:hint="eastAsia" w:ascii="黑体" w:hAnsi="黑体" w:eastAsia="黑体" w:cs="Courier"/>
          <w:kern w:val="0"/>
          <w:szCs w:val="21"/>
        </w:rPr>
        <w:t>C级反光</w:t>
      </w:r>
      <w:r>
        <w:rPr>
          <w:rFonts w:ascii="黑体" w:hAnsi="黑体" w:eastAsia="黑体" w:cs="Courier"/>
          <w:kern w:val="0"/>
          <w:szCs w:val="21"/>
        </w:rPr>
        <w:t>标识</w:t>
      </w:r>
      <w:r>
        <w:rPr>
          <w:rFonts w:hint="eastAsia" w:ascii="黑体" w:hAnsi="黑体" w:eastAsia="黑体" w:cs="Courier"/>
          <w:kern w:val="0"/>
          <w:szCs w:val="21"/>
        </w:rPr>
        <w:t>光度</w:t>
      </w:r>
      <w:r>
        <w:rPr>
          <w:rFonts w:ascii="黑体" w:hAnsi="黑体" w:eastAsia="黑体" w:cs="Courier"/>
          <w:kern w:val="0"/>
          <w:szCs w:val="21"/>
        </w:rPr>
        <w:t>性能</w:t>
      </w:r>
      <w:r>
        <w:rPr>
          <w:rFonts w:hint="eastAsia" w:ascii="黑体" w:hAnsi="黑体" w:eastAsia="黑体" w:cs="Courier"/>
          <w:kern w:val="0"/>
          <w:szCs w:val="21"/>
        </w:rPr>
        <w:t>要求</w:t>
      </w:r>
      <w:r>
        <w:rPr>
          <w:rFonts w:ascii="黑体" w:hAnsi="黑体" w:eastAsia="黑体" w:cs="Courier"/>
          <w:kern w:val="0"/>
          <w:szCs w:val="21"/>
        </w:rPr>
        <w:t>对比</w:t>
      </w:r>
    </w:p>
    <w:p>
      <w:pPr>
        <w:pStyle w:val="19"/>
        <w:ind w:left="780" w:right="105" w:firstLine="0" w:firstLineChars="0"/>
        <w:jc w:val="right"/>
        <w:rPr>
          <w:rFonts w:ascii="Courier" w:hAnsi="Courier" w:cs="Courier"/>
          <w:kern w:val="0"/>
          <w:szCs w:val="21"/>
        </w:rPr>
      </w:pPr>
      <w:r>
        <w:rPr>
          <w:rFonts w:hint="eastAsia" w:ascii="Courier" w:hAnsi="Courier" w:cs="Courier"/>
          <w:kern w:val="0"/>
          <w:szCs w:val="21"/>
        </w:rPr>
        <w:t>单位</w:t>
      </w:r>
      <w:r>
        <w:rPr>
          <w:rFonts w:ascii="Courier" w:hAnsi="Courier" w:cs="Courier"/>
          <w:kern w:val="0"/>
          <w:szCs w:val="21"/>
        </w:rPr>
        <w:t>：</w:t>
      </w:r>
      <w:r>
        <w:rPr>
          <w:rFonts w:hint="eastAsia" w:ascii="Courier" w:hAnsi="Courier" w:cs="Courier"/>
          <w:kern w:val="0"/>
          <w:szCs w:val="21"/>
        </w:rPr>
        <w:t>毫坎德拉</w:t>
      </w:r>
      <w:r>
        <w:rPr>
          <w:rFonts w:ascii="Courier" w:hAnsi="Courier" w:cs="Courier"/>
          <w:kern w:val="0"/>
          <w:szCs w:val="21"/>
        </w:rPr>
        <w:t>每勒克斯</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826"/>
        <w:gridCol w:w="1035"/>
        <w:gridCol w:w="58"/>
        <w:gridCol w:w="916"/>
        <w:gridCol w:w="967"/>
        <w:gridCol w:w="994"/>
        <w:gridCol w:w="1021"/>
        <w:gridCol w:w="95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667" w:type="dxa"/>
            <w:gridSpan w:val="2"/>
            <w:vMerge w:val="restart"/>
            <w:tcBorders>
              <w:top w:val="single" w:color="auto" w:sz="8" w:space="0"/>
              <w:left w:val="single" w:color="auto" w:sz="8" w:space="0"/>
              <w:bottom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入射角</w:t>
            </w:r>
          </w:p>
        </w:tc>
        <w:tc>
          <w:tcPr>
            <w:tcW w:w="6855" w:type="dxa"/>
            <w:gridSpan w:val="8"/>
            <w:tcBorders>
              <w:top w:val="single" w:color="auto" w:sz="8" w:space="0"/>
              <w:right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观测角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667" w:type="dxa"/>
            <w:gridSpan w:val="2"/>
            <w:vMerge w:val="continue"/>
            <w:tcBorders>
              <w:left w:val="single" w:color="auto" w:sz="8" w:space="0"/>
              <w:bottom w:val="single" w:color="auto" w:sz="8" w:space="0"/>
            </w:tcBorders>
            <w:vAlign w:val="center"/>
          </w:tcPr>
          <w:p>
            <w:pPr>
              <w:adjustRightInd w:val="0"/>
              <w:snapToGrid w:val="0"/>
              <w:spacing w:line="240" w:lineRule="auto"/>
              <w:ind w:firstLine="420"/>
              <w:jc w:val="center"/>
              <w:rPr>
                <w:rFonts w:asciiTheme="minorEastAsia" w:hAnsiTheme="minorEastAsia" w:eastAsiaTheme="minorEastAsia"/>
                <w:bCs/>
                <w:iCs/>
                <w:szCs w:val="21"/>
              </w:rPr>
            </w:pPr>
          </w:p>
        </w:tc>
        <w:tc>
          <w:tcPr>
            <w:tcW w:w="2009" w:type="dxa"/>
            <w:gridSpan w:val="3"/>
            <w:vAlign w:val="center"/>
          </w:tcPr>
          <w:p>
            <w:pPr>
              <w:adjustRightInd w:val="0"/>
              <w:snapToGrid w:val="0"/>
              <w:spacing w:line="240" w:lineRule="auto"/>
              <w:ind w:firstLine="0" w:firstLineChars="0"/>
              <w:jc w:val="center"/>
              <w:rPr>
                <w:rFonts w:ascii="宋体" w:hAnsi="宋体"/>
                <w:bCs/>
                <w:iCs/>
                <w:sz w:val="18"/>
                <w:szCs w:val="18"/>
              </w:rPr>
            </w:pPr>
            <w:r>
              <w:rPr>
                <w:rFonts w:ascii="宋体" w:hAnsi="宋体"/>
                <w:bCs/>
                <w:iCs/>
                <w:sz w:val="18"/>
                <w:szCs w:val="18"/>
              </w:rPr>
              <w:t>20</w:t>
            </w:r>
            <w:r>
              <w:rPr>
                <w:rFonts w:hint="eastAsia" w:ascii="宋体" w:hAnsi="宋体"/>
                <w:bCs/>
                <w:iCs/>
                <w:sz w:val="18"/>
                <w:szCs w:val="18"/>
              </w:rPr>
              <w:t>＇</w:t>
            </w:r>
          </w:p>
        </w:tc>
        <w:tc>
          <w:tcPr>
            <w:tcW w:w="2982" w:type="dxa"/>
            <w:gridSpan w:val="3"/>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12＇</w:t>
            </w:r>
          </w:p>
        </w:tc>
        <w:tc>
          <w:tcPr>
            <w:tcW w:w="1864" w:type="dxa"/>
            <w:gridSpan w:val="2"/>
            <w:tcBorders>
              <w:right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ascii="宋体" w:hAnsi="宋体"/>
                <w:bCs/>
                <w:iCs/>
                <w:sz w:val="18"/>
                <w:szCs w:val="18"/>
              </w:rPr>
              <w:t>20</w:t>
            </w:r>
            <w:r>
              <w:rPr>
                <w:rFonts w:hint="eastAsia" w:ascii="宋体" w:hAnsi="宋体"/>
                <w:bCs/>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667" w:type="dxa"/>
            <w:gridSpan w:val="2"/>
            <w:vMerge w:val="continue"/>
            <w:tcBorders>
              <w:left w:val="single" w:color="auto" w:sz="8" w:space="0"/>
              <w:bottom w:val="single" w:color="auto" w:sz="8" w:space="0"/>
            </w:tcBorders>
            <w:vAlign w:val="center"/>
          </w:tcPr>
          <w:p>
            <w:pPr>
              <w:adjustRightInd w:val="0"/>
              <w:snapToGrid w:val="0"/>
              <w:spacing w:line="240" w:lineRule="auto"/>
              <w:ind w:firstLine="420"/>
              <w:jc w:val="center"/>
              <w:rPr>
                <w:rFonts w:asciiTheme="minorEastAsia" w:hAnsiTheme="minorEastAsia" w:eastAsiaTheme="minorEastAsia"/>
                <w:bCs/>
                <w:iCs/>
                <w:szCs w:val="21"/>
              </w:rPr>
            </w:pPr>
          </w:p>
        </w:tc>
        <w:tc>
          <w:tcPr>
            <w:tcW w:w="2009" w:type="dxa"/>
            <w:gridSpan w:val="3"/>
            <w:tcBorders>
              <w:bottom w:val="single" w:color="auto" w:sz="4"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sz w:val="18"/>
                <w:szCs w:val="18"/>
              </w:rPr>
              <w:t>反射器型</w:t>
            </w:r>
            <w:r>
              <w:rPr>
                <w:rFonts w:ascii="宋体" w:hAnsi="宋体"/>
                <w:sz w:val="18"/>
                <w:szCs w:val="18"/>
              </w:rPr>
              <w:t>反光标识</w:t>
            </w:r>
          </w:p>
        </w:tc>
        <w:tc>
          <w:tcPr>
            <w:tcW w:w="2982" w:type="dxa"/>
            <w:gridSpan w:val="3"/>
            <w:tcBorders>
              <w:bottom w:val="single" w:color="auto" w:sz="4" w:space="0"/>
            </w:tcBorders>
            <w:vAlign w:val="center"/>
          </w:tcPr>
          <w:p>
            <w:pPr>
              <w:adjustRightInd w:val="0"/>
              <w:snapToGrid w:val="0"/>
              <w:spacing w:line="240" w:lineRule="auto"/>
              <w:ind w:firstLine="0" w:firstLineChars="0"/>
              <w:jc w:val="center"/>
              <w:rPr>
                <w:rFonts w:ascii="宋体" w:hAnsi="宋体"/>
                <w:bCs/>
                <w:iCs/>
                <w:sz w:val="18"/>
                <w:szCs w:val="18"/>
              </w:rPr>
            </w:pPr>
            <w:r>
              <w:rPr>
                <w:rFonts w:ascii="宋体" w:hAnsi="宋体"/>
                <w:sz w:val="18"/>
                <w:szCs w:val="18"/>
              </w:rPr>
              <w:t>CFR</w:t>
            </w:r>
            <w:r>
              <w:rPr>
                <w:rFonts w:hint="eastAsia" w:ascii="宋体" w:hAnsi="宋体"/>
                <w:sz w:val="18"/>
                <w:szCs w:val="18"/>
              </w:rPr>
              <w:t>§</w:t>
            </w:r>
            <w:r>
              <w:rPr>
                <w:rFonts w:ascii="宋体" w:hAnsi="宋体"/>
                <w:sz w:val="18"/>
                <w:szCs w:val="18"/>
              </w:rPr>
              <w:t>571.108</w:t>
            </w:r>
          </w:p>
        </w:tc>
        <w:tc>
          <w:tcPr>
            <w:tcW w:w="1864" w:type="dxa"/>
            <w:gridSpan w:val="2"/>
            <w:tcBorders>
              <w:bottom w:val="single" w:color="auto" w:sz="4" w:space="0"/>
              <w:right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ascii="宋体" w:hAnsi="宋体"/>
                <w:bCs/>
                <w:iCs/>
                <w:sz w:val="18"/>
                <w:szCs w:val="18"/>
              </w:rPr>
              <w:t>R 150</w:t>
            </w:r>
            <w:r>
              <w:rPr>
                <w:rFonts w:hint="eastAsia" w:ascii="宋体" w:hAnsi="宋体"/>
                <w:bCs/>
                <w:iCs/>
                <w:sz w:val="18"/>
                <w:szCs w:val="18"/>
              </w:rPr>
              <w:t>中C级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667" w:type="dxa"/>
            <w:gridSpan w:val="2"/>
            <w:vMerge w:val="continue"/>
            <w:tcBorders>
              <w:left w:val="single" w:color="auto" w:sz="8" w:space="0"/>
              <w:bottom w:val="single" w:color="auto" w:sz="8" w:space="0"/>
            </w:tcBorders>
            <w:vAlign w:val="center"/>
          </w:tcPr>
          <w:p>
            <w:pPr>
              <w:adjustRightInd w:val="0"/>
              <w:snapToGrid w:val="0"/>
              <w:spacing w:line="240" w:lineRule="auto"/>
              <w:ind w:firstLine="420"/>
              <w:jc w:val="center"/>
              <w:rPr>
                <w:rFonts w:asciiTheme="minorEastAsia" w:hAnsiTheme="minorEastAsia" w:eastAsiaTheme="minorEastAsia"/>
                <w:bCs/>
                <w:iCs/>
                <w:szCs w:val="21"/>
              </w:rPr>
            </w:pPr>
          </w:p>
        </w:tc>
        <w:tc>
          <w:tcPr>
            <w:tcW w:w="1035" w:type="dxa"/>
            <w:tcBorders>
              <w:bottom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白色</w:t>
            </w:r>
          </w:p>
        </w:tc>
        <w:tc>
          <w:tcPr>
            <w:tcW w:w="974" w:type="dxa"/>
            <w:gridSpan w:val="2"/>
            <w:tcBorders>
              <w:bottom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红色</w:t>
            </w:r>
          </w:p>
        </w:tc>
        <w:tc>
          <w:tcPr>
            <w:tcW w:w="1961" w:type="dxa"/>
            <w:gridSpan w:val="2"/>
            <w:tcBorders>
              <w:bottom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白色</w:t>
            </w:r>
          </w:p>
        </w:tc>
        <w:tc>
          <w:tcPr>
            <w:tcW w:w="1021" w:type="dxa"/>
            <w:tcBorders>
              <w:bottom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红色</w:t>
            </w:r>
          </w:p>
        </w:tc>
        <w:tc>
          <w:tcPr>
            <w:tcW w:w="952" w:type="dxa"/>
            <w:tcBorders>
              <w:bottom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白色</w:t>
            </w:r>
          </w:p>
        </w:tc>
        <w:tc>
          <w:tcPr>
            <w:tcW w:w="912" w:type="dxa"/>
            <w:tcBorders>
              <w:bottom w:val="single" w:color="auto" w:sz="8" w:space="0"/>
              <w:righ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 w:val="18"/>
                <w:szCs w:val="18"/>
              </w:rPr>
            </w:pPr>
            <w:r>
              <w:rPr>
                <w:rFonts w:hint="eastAsia" w:asciiTheme="minorEastAsia" w:hAnsiTheme="minorEastAsia" w:eastAsiaTheme="minorEastAsia"/>
                <w:bCs/>
                <w:iCs/>
                <w:sz w:val="18"/>
                <w:szCs w:val="18"/>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top w:val="single" w:color="auto" w:sz="8" w:space="0"/>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宋体" w:hAnsi="宋体"/>
                <w:bCs/>
                <w:iCs/>
                <w:color w:val="000000"/>
                <w:sz w:val="18"/>
                <w:szCs w:val="18"/>
              </w:rPr>
              <w:t>β</w:t>
            </w:r>
            <w:r>
              <w:rPr>
                <w:rFonts w:hint="eastAsia" w:ascii="宋体" w:hAnsi="宋体"/>
                <w:bCs/>
                <w:iCs/>
                <w:color w:val="000000"/>
                <w:sz w:val="18"/>
                <w:szCs w:val="18"/>
                <w:vertAlign w:val="subscript"/>
              </w:rPr>
              <w:t>1</w:t>
            </w:r>
          </w:p>
        </w:tc>
        <w:tc>
          <w:tcPr>
            <w:tcW w:w="826" w:type="dxa"/>
            <w:tcBorders>
              <w:top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宋体" w:hAnsi="宋体"/>
                <w:bCs/>
                <w:iCs/>
                <w:color w:val="000000"/>
                <w:sz w:val="18"/>
                <w:szCs w:val="18"/>
              </w:rPr>
              <w:t>β</w:t>
            </w:r>
            <w:r>
              <w:rPr>
                <w:rFonts w:hint="eastAsia" w:ascii="宋体" w:hAnsi="宋体"/>
                <w:bCs/>
                <w:iCs/>
                <w:color w:val="000000"/>
                <w:sz w:val="18"/>
                <w:szCs w:val="18"/>
                <w:vertAlign w:val="subscript"/>
              </w:rPr>
              <w:t>2</w:t>
            </w:r>
          </w:p>
        </w:tc>
        <w:tc>
          <w:tcPr>
            <w:tcW w:w="2009" w:type="dxa"/>
            <w:gridSpan w:val="3"/>
            <w:tcBorders>
              <w:top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color w:val="000000"/>
                <w:sz w:val="18"/>
                <w:szCs w:val="18"/>
              </w:rPr>
              <w:t>ε</w:t>
            </w:r>
            <w:r>
              <w:rPr>
                <w:rFonts w:ascii="宋体" w:hAnsi="宋体"/>
                <w:bCs/>
                <w:iCs/>
                <w:color w:val="000000"/>
                <w:sz w:val="18"/>
                <w:szCs w:val="18"/>
              </w:rPr>
              <w:t>=</w:t>
            </w:r>
            <w:r>
              <w:rPr>
                <w:rFonts w:hint="eastAsia" w:ascii="宋体" w:hAnsi="宋体"/>
                <w:bCs/>
                <w:iCs/>
                <w:color w:val="000000"/>
                <w:sz w:val="18"/>
                <w:szCs w:val="18"/>
              </w:rPr>
              <w:t>0°和ε</w:t>
            </w:r>
            <w:r>
              <w:rPr>
                <w:rFonts w:ascii="宋体" w:hAnsi="宋体"/>
                <w:bCs/>
                <w:iCs/>
                <w:color w:val="000000"/>
                <w:sz w:val="18"/>
                <w:szCs w:val="18"/>
              </w:rPr>
              <w:t>=9</w:t>
            </w:r>
            <w:r>
              <w:rPr>
                <w:rFonts w:hint="eastAsia" w:ascii="宋体" w:hAnsi="宋体"/>
                <w:bCs/>
                <w:iCs/>
                <w:color w:val="000000"/>
                <w:sz w:val="18"/>
                <w:szCs w:val="18"/>
              </w:rPr>
              <w:t>0°</w:t>
            </w:r>
          </w:p>
        </w:tc>
        <w:tc>
          <w:tcPr>
            <w:tcW w:w="967" w:type="dxa"/>
            <w:tcBorders>
              <w:top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color w:val="000000"/>
                <w:sz w:val="18"/>
                <w:szCs w:val="18"/>
              </w:rPr>
              <w:t>ε</w:t>
            </w:r>
            <w:r>
              <w:rPr>
                <w:rFonts w:ascii="宋体" w:hAnsi="宋体"/>
                <w:bCs/>
                <w:iCs/>
                <w:color w:val="000000"/>
                <w:sz w:val="18"/>
                <w:szCs w:val="18"/>
              </w:rPr>
              <w:t>=</w:t>
            </w:r>
            <w:r>
              <w:rPr>
                <w:rFonts w:hint="eastAsia" w:ascii="宋体" w:hAnsi="宋体"/>
                <w:bCs/>
                <w:iCs/>
                <w:color w:val="000000"/>
                <w:sz w:val="18"/>
                <w:szCs w:val="18"/>
              </w:rPr>
              <w:t>0°</w:t>
            </w:r>
          </w:p>
        </w:tc>
        <w:tc>
          <w:tcPr>
            <w:tcW w:w="994" w:type="dxa"/>
            <w:tcBorders>
              <w:top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color w:val="000000"/>
                <w:sz w:val="18"/>
                <w:szCs w:val="18"/>
              </w:rPr>
              <w:t>ε</w:t>
            </w:r>
            <w:r>
              <w:rPr>
                <w:rFonts w:ascii="宋体" w:hAnsi="宋体"/>
                <w:bCs/>
                <w:iCs/>
                <w:color w:val="000000"/>
                <w:sz w:val="18"/>
                <w:szCs w:val="18"/>
              </w:rPr>
              <w:t>=9</w:t>
            </w:r>
            <w:r>
              <w:rPr>
                <w:rFonts w:hint="eastAsia" w:ascii="宋体" w:hAnsi="宋体"/>
                <w:bCs/>
                <w:iCs/>
                <w:color w:val="000000"/>
                <w:sz w:val="18"/>
                <w:szCs w:val="18"/>
              </w:rPr>
              <w:t>0°</w:t>
            </w:r>
          </w:p>
        </w:tc>
        <w:tc>
          <w:tcPr>
            <w:tcW w:w="1021" w:type="dxa"/>
            <w:tcBorders>
              <w:top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color w:val="000000"/>
                <w:sz w:val="18"/>
                <w:szCs w:val="18"/>
              </w:rPr>
              <w:t>ε</w:t>
            </w:r>
            <w:r>
              <w:rPr>
                <w:rFonts w:ascii="宋体" w:hAnsi="宋体"/>
                <w:bCs/>
                <w:iCs/>
                <w:color w:val="000000"/>
                <w:sz w:val="18"/>
                <w:szCs w:val="18"/>
              </w:rPr>
              <w:t>=</w:t>
            </w:r>
            <w:r>
              <w:rPr>
                <w:rFonts w:hint="eastAsia" w:ascii="宋体" w:hAnsi="宋体"/>
                <w:bCs/>
                <w:iCs/>
                <w:color w:val="000000"/>
                <w:sz w:val="18"/>
                <w:szCs w:val="18"/>
              </w:rPr>
              <w:t>0°</w:t>
            </w:r>
          </w:p>
        </w:tc>
        <w:tc>
          <w:tcPr>
            <w:tcW w:w="1864" w:type="dxa"/>
            <w:gridSpan w:val="2"/>
            <w:tcBorders>
              <w:top w:val="single" w:color="auto" w:sz="8" w:space="0"/>
              <w:right w:val="single" w:color="auto" w:sz="8" w:space="0"/>
            </w:tcBorders>
            <w:vAlign w:val="center"/>
          </w:tcPr>
          <w:p>
            <w:pPr>
              <w:adjustRightInd w:val="0"/>
              <w:snapToGrid w:val="0"/>
              <w:spacing w:line="240" w:lineRule="auto"/>
              <w:ind w:firstLine="0" w:firstLineChars="0"/>
              <w:jc w:val="center"/>
              <w:rPr>
                <w:rFonts w:ascii="宋体" w:hAnsi="宋体"/>
                <w:bCs/>
                <w:iCs/>
                <w:sz w:val="18"/>
                <w:szCs w:val="18"/>
              </w:rPr>
            </w:pPr>
            <w:r>
              <w:rPr>
                <w:rFonts w:hint="eastAsia" w:ascii="宋体" w:hAnsi="宋体"/>
                <w:bCs/>
                <w:iCs/>
                <w:sz w:val="18"/>
                <w:szCs w:val="18"/>
              </w:rPr>
              <w:t>TOP/</w:t>
            </w:r>
            <w:r>
              <w:rPr>
                <w:rFonts w:ascii="宋体" w:hAnsi="宋体"/>
                <w:bCs/>
                <w:iCs/>
                <w:sz w:val="18"/>
                <w:szCs w:val="18"/>
              </w:rPr>
              <w:t>最大值</w:t>
            </w:r>
            <w:r>
              <w:rPr>
                <w:rFonts w:hint="eastAsia" w:ascii="宋体" w:hAnsi="宋体"/>
                <w:bCs/>
                <w:iCs/>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0°</w:t>
            </w:r>
          </w:p>
        </w:tc>
        <w:tc>
          <w:tcPr>
            <w:tcW w:w="826" w:type="dxa"/>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5°/</w:t>
            </w:r>
            <w:r>
              <w:rPr>
                <w:rFonts w:asciiTheme="minorEastAsia" w:hAnsiTheme="minorEastAsia" w:eastAsiaTheme="minorEastAsia"/>
                <w:bCs/>
                <w:iCs/>
                <w:szCs w:val="21"/>
              </w:rPr>
              <w:t>-4</w:t>
            </w:r>
            <w:r>
              <w:rPr>
                <w:rFonts w:hint="eastAsia" w:asciiTheme="minorEastAsia" w:hAnsiTheme="minorEastAsia" w:eastAsiaTheme="minorEastAsia"/>
                <w:bCs/>
                <w:iCs/>
                <w:szCs w:val="21"/>
              </w:rPr>
              <w:t>°</w:t>
            </w:r>
          </w:p>
        </w:tc>
        <w:tc>
          <w:tcPr>
            <w:tcW w:w="1093" w:type="dxa"/>
            <w:gridSpan w:val="2"/>
            <w:vAlign w:val="center"/>
          </w:tcPr>
          <w:p>
            <w:pPr>
              <w:adjustRightInd w:val="0"/>
              <w:snapToGrid w:val="0"/>
              <w:spacing w:line="240" w:lineRule="auto"/>
              <w:ind w:firstLine="0" w:firstLineChars="0"/>
              <w:jc w:val="center"/>
              <w:rPr>
                <w:bCs/>
                <w:iCs/>
                <w:sz w:val="18"/>
                <w:szCs w:val="18"/>
              </w:rPr>
            </w:pPr>
            <w:r>
              <w:rPr>
                <w:bCs/>
                <w:iCs/>
                <w:sz w:val="18"/>
                <w:szCs w:val="18"/>
              </w:rPr>
              <w:t>3375</w:t>
            </w:r>
          </w:p>
        </w:tc>
        <w:tc>
          <w:tcPr>
            <w:tcW w:w="916" w:type="dxa"/>
            <w:vAlign w:val="center"/>
          </w:tcPr>
          <w:p>
            <w:pPr>
              <w:adjustRightInd w:val="0"/>
              <w:snapToGrid w:val="0"/>
              <w:spacing w:line="240" w:lineRule="auto"/>
              <w:ind w:firstLine="0" w:firstLineChars="0"/>
              <w:jc w:val="center"/>
              <w:rPr>
                <w:bCs/>
                <w:iCs/>
                <w:sz w:val="18"/>
                <w:szCs w:val="18"/>
              </w:rPr>
            </w:pPr>
            <w:r>
              <w:rPr>
                <w:bCs/>
                <w:iCs/>
                <w:sz w:val="18"/>
                <w:szCs w:val="18"/>
              </w:rPr>
              <w:t>900</w:t>
            </w:r>
          </w:p>
        </w:tc>
        <w:tc>
          <w:tcPr>
            <w:tcW w:w="967"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1250</w:t>
            </w:r>
          </w:p>
        </w:tc>
        <w:tc>
          <w:tcPr>
            <w:tcW w:w="994"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1680</w:t>
            </w:r>
          </w:p>
        </w:tc>
        <w:tc>
          <w:tcPr>
            <w:tcW w:w="1021"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300</w:t>
            </w:r>
          </w:p>
        </w:tc>
        <w:tc>
          <w:tcPr>
            <w:tcW w:w="952" w:type="dxa"/>
            <w:vAlign w:val="center"/>
          </w:tcPr>
          <w:p>
            <w:pPr>
              <w:adjustRightInd w:val="0"/>
              <w:snapToGrid w:val="0"/>
              <w:spacing w:line="240" w:lineRule="auto"/>
              <w:ind w:firstLine="0" w:firstLineChars="0"/>
              <w:jc w:val="center"/>
              <w:rPr>
                <w:bCs/>
                <w:iCs/>
                <w:sz w:val="18"/>
                <w:szCs w:val="18"/>
              </w:rPr>
            </w:pPr>
            <w:r>
              <w:rPr>
                <w:bCs/>
                <w:iCs/>
                <w:sz w:val="18"/>
                <w:szCs w:val="18"/>
              </w:rPr>
              <w:t>3375</w:t>
            </w:r>
          </w:p>
        </w:tc>
        <w:tc>
          <w:tcPr>
            <w:tcW w:w="912" w:type="dxa"/>
            <w:tcBorders>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0°</w:t>
            </w:r>
          </w:p>
        </w:tc>
        <w:tc>
          <w:tcPr>
            <w:tcW w:w="826" w:type="dxa"/>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10°</w:t>
            </w:r>
          </w:p>
        </w:tc>
        <w:tc>
          <w:tcPr>
            <w:tcW w:w="1093" w:type="dxa"/>
            <w:gridSpan w:val="2"/>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16"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67"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94"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1120</w:t>
            </w:r>
          </w:p>
        </w:tc>
        <w:tc>
          <w:tcPr>
            <w:tcW w:w="1021"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52"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12" w:type="dxa"/>
            <w:tcBorders>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0°</w:t>
            </w:r>
          </w:p>
        </w:tc>
        <w:tc>
          <w:tcPr>
            <w:tcW w:w="826" w:type="dxa"/>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asciiTheme="minorEastAsia" w:hAnsiTheme="minorEastAsia" w:eastAsiaTheme="minorEastAsia"/>
                <w:bCs/>
                <w:iCs/>
                <w:szCs w:val="21"/>
              </w:rPr>
              <w:t>2</w:t>
            </w:r>
            <w:r>
              <w:rPr>
                <w:rFonts w:hint="eastAsia" w:asciiTheme="minorEastAsia" w:hAnsiTheme="minorEastAsia" w:eastAsiaTheme="minorEastAsia"/>
                <w:bCs/>
                <w:iCs/>
                <w:szCs w:val="21"/>
              </w:rPr>
              <w:t>0°</w:t>
            </w:r>
          </w:p>
        </w:tc>
        <w:tc>
          <w:tcPr>
            <w:tcW w:w="1093" w:type="dxa"/>
            <w:gridSpan w:val="2"/>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16" w:type="dxa"/>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450</w:t>
            </w:r>
          </w:p>
        </w:tc>
        <w:tc>
          <w:tcPr>
            <w:tcW w:w="967"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1250</w:t>
            </w:r>
          </w:p>
        </w:tc>
        <w:tc>
          <w:tcPr>
            <w:tcW w:w="994"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560</w:t>
            </w:r>
          </w:p>
        </w:tc>
        <w:tc>
          <w:tcPr>
            <w:tcW w:w="1021"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300</w:t>
            </w:r>
          </w:p>
        </w:tc>
        <w:tc>
          <w:tcPr>
            <w:tcW w:w="952"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12" w:type="dxa"/>
            <w:tcBorders>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0°</w:t>
            </w:r>
          </w:p>
        </w:tc>
        <w:tc>
          <w:tcPr>
            <w:tcW w:w="826" w:type="dxa"/>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30°</w:t>
            </w:r>
          </w:p>
        </w:tc>
        <w:tc>
          <w:tcPr>
            <w:tcW w:w="1093" w:type="dxa"/>
            <w:gridSpan w:val="2"/>
            <w:vAlign w:val="center"/>
          </w:tcPr>
          <w:p>
            <w:pPr>
              <w:adjustRightInd w:val="0"/>
              <w:snapToGrid w:val="0"/>
              <w:spacing w:line="240" w:lineRule="auto"/>
              <w:ind w:firstLine="0" w:firstLineChars="0"/>
              <w:jc w:val="center"/>
              <w:rPr>
                <w:bCs/>
                <w:iCs/>
                <w:sz w:val="18"/>
                <w:szCs w:val="18"/>
              </w:rPr>
            </w:pPr>
            <w:r>
              <w:rPr>
                <w:bCs/>
                <w:iCs/>
                <w:sz w:val="18"/>
                <w:szCs w:val="18"/>
              </w:rPr>
              <w:t>1500</w:t>
            </w:r>
          </w:p>
        </w:tc>
        <w:tc>
          <w:tcPr>
            <w:tcW w:w="916" w:type="dxa"/>
            <w:vAlign w:val="center"/>
          </w:tcPr>
          <w:p>
            <w:pPr>
              <w:adjustRightInd w:val="0"/>
              <w:snapToGrid w:val="0"/>
              <w:spacing w:line="240" w:lineRule="auto"/>
              <w:ind w:firstLine="0" w:firstLineChars="0"/>
              <w:jc w:val="center"/>
              <w:rPr>
                <w:bCs/>
                <w:iCs/>
                <w:sz w:val="18"/>
                <w:szCs w:val="18"/>
              </w:rPr>
            </w:pPr>
            <w:r>
              <w:rPr>
                <w:bCs/>
                <w:iCs/>
                <w:sz w:val="18"/>
                <w:szCs w:val="18"/>
              </w:rPr>
              <w:t>225</w:t>
            </w:r>
          </w:p>
        </w:tc>
        <w:tc>
          <w:tcPr>
            <w:tcW w:w="967"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1250</w:t>
            </w:r>
          </w:p>
        </w:tc>
        <w:tc>
          <w:tcPr>
            <w:tcW w:w="994"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1021"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300</w:t>
            </w:r>
          </w:p>
        </w:tc>
        <w:tc>
          <w:tcPr>
            <w:tcW w:w="952" w:type="dxa"/>
            <w:vAlign w:val="center"/>
          </w:tcPr>
          <w:p>
            <w:pPr>
              <w:adjustRightInd w:val="0"/>
              <w:snapToGrid w:val="0"/>
              <w:spacing w:line="240" w:lineRule="auto"/>
              <w:ind w:firstLine="0" w:firstLineChars="0"/>
              <w:jc w:val="center"/>
              <w:rPr>
                <w:bCs/>
                <w:iCs/>
                <w:sz w:val="18"/>
                <w:szCs w:val="18"/>
              </w:rPr>
            </w:pPr>
            <w:r>
              <w:rPr>
                <w:bCs/>
                <w:iCs/>
                <w:sz w:val="18"/>
                <w:szCs w:val="18"/>
              </w:rPr>
              <w:t>1500</w:t>
            </w:r>
          </w:p>
        </w:tc>
        <w:tc>
          <w:tcPr>
            <w:tcW w:w="912" w:type="dxa"/>
            <w:tcBorders>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0°</w:t>
            </w:r>
          </w:p>
        </w:tc>
        <w:tc>
          <w:tcPr>
            <w:tcW w:w="826" w:type="dxa"/>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asciiTheme="minorEastAsia" w:hAnsiTheme="minorEastAsia" w:eastAsiaTheme="minorEastAsia"/>
                <w:bCs/>
                <w:iCs/>
                <w:szCs w:val="21"/>
              </w:rPr>
              <w:t>40</w:t>
            </w:r>
            <w:r>
              <w:rPr>
                <w:rFonts w:hint="eastAsia" w:asciiTheme="minorEastAsia" w:hAnsiTheme="minorEastAsia" w:eastAsiaTheme="minorEastAsia"/>
                <w:bCs/>
                <w:iCs/>
                <w:szCs w:val="21"/>
              </w:rPr>
              <w:t>°</w:t>
            </w:r>
          </w:p>
        </w:tc>
        <w:tc>
          <w:tcPr>
            <w:tcW w:w="1093" w:type="dxa"/>
            <w:gridSpan w:val="2"/>
            <w:vAlign w:val="center"/>
          </w:tcPr>
          <w:p>
            <w:pPr>
              <w:adjustRightInd w:val="0"/>
              <w:snapToGrid w:val="0"/>
              <w:spacing w:line="240" w:lineRule="auto"/>
              <w:ind w:firstLine="0" w:firstLineChars="0"/>
              <w:jc w:val="center"/>
              <w:rPr>
                <w:bCs/>
                <w:iCs/>
                <w:sz w:val="18"/>
                <w:szCs w:val="18"/>
              </w:rPr>
            </w:pPr>
            <w:r>
              <w:rPr>
                <w:bCs/>
                <w:iCs/>
                <w:sz w:val="18"/>
                <w:szCs w:val="18"/>
              </w:rPr>
              <w:t>675</w:t>
            </w:r>
          </w:p>
        </w:tc>
        <w:tc>
          <w:tcPr>
            <w:tcW w:w="916"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75</w:t>
            </w:r>
          </w:p>
        </w:tc>
        <w:tc>
          <w:tcPr>
            <w:tcW w:w="967"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94"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1021"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52" w:type="dxa"/>
            <w:vAlign w:val="center"/>
          </w:tcPr>
          <w:p>
            <w:pPr>
              <w:adjustRightInd w:val="0"/>
              <w:snapToGrid w:val="0"/>
              <w:spacing w:line="240" w:lineRule="auto"/>
              <w:ind w:firstLine="0" w:firstLineChars="0"/>
              <w:jc w:val="center"/>
              <w:rPr>
                <w:bCs/>
                <w:iCs/>
                <w:sz w:val="18"/>
                <w:szCs w:val="18"/>
              </w:rPr>
            </w:pPr>
            <w:r>
              <w:rPr>
                <w:bCs/>
                <w:iCs/>
                <w:sz w:val="18"/>
                <w:szCs w:val="18"/>
              </w:rPr>
              <w:t>675</w:t>
            </w:r>
          </w:p>
        </w:tc>
        <w:tc>
          <w:tcPr>
            <w:tcW w:w="912" w:type="dxa"/>
            <w:tcBorders>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0°</w:t>
            </w:r>
          </w:p>
        </w:tc>
        <w:tc>
          <w:tcPr>
            <w:tcW w:w="826" w:type="dxa"/>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45°</w:t>
            </w:r>
          </w:p>
        </w:tc>
        <w:tc>
          <w:tcPr>
            <w:tcW w:w="1093" w:type="dxa"/>
            <w:gridSpan w:val="2"/>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16"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67"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300</w:t>
            </w:r>
          </w:p>
        </w:tc>
        <w:tc>
          <w:tcPr>
            <w:tcW w:w="994"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1021" w:type="dxa"/>
            <w:vAlign w:val="center"/>
          </w:tcPr>
          <w:p>
            <w:pPr>
              <w:adjustRightInd w:val="0"/>
              <w:snapToGrid w:val="0"/>
              <w:spacing w:line="240" w:lineRule="auto"/>
              <w:ind w:firstLine="0" w:firstLineChars="0"/>
              <w:jc w:val="center"/>
              <w:rPr>
                <w:bCs/>
                <w:iCs/>
                <w:sz w:val="18"/>
                <w:szCs w:val="18"/>
              </w:rPr>
            </w:pPr>
            <w:r>
              <w:rPr>
                <w:bCs/>
                <w:iCs/>
                <w:sz w:val="18"/>
                <w:szCs w:val="18"/>
              </w:rPr>
              <w:t>75</w:t>
            </w:r>
          </w:p>
        </w:tc>
        <w:tc>
          <w:tcPr>
            <w:tcW w:w="952"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12" w:type="dxa"/>
            <w:tcBorders>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41" w:type="dxa"/>
            <w:tcBorders>
              <w:left w:val="single" w:color="auto" w:sz="8" w:space="0"/>
            </w:tcBorders>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hint="eastAsia" w:asciiTheme="minorEastAsia" w:hAnsiTheme="minorEastAsia" w:eastAsiaTheme="minorEastAsia"/>
                <w:bCs/>
                <w:iCs/>
                <w:szCs w:val="21"/>
              </w:rPr>
              <w:t>0°</w:t>
            </w:r>
          </w:p>
        </w:tc>
        <w:tc>
          <w:tcPr>
            <w:tcW w:w="826" w:type="dxa"/>
            <w:vAlign w:val="center"/>
          </w:tcPr>
          <w:p>
            <w:pPr>
              <w:adjustRightInd w:val="0"/>
              <w:snapToGrid w:val="0"/>
              <w:spacing w:line="240" w:lineRule="auto"/>
              <w:ind w:firstLine="0" w:firstLineChars="0"/>
              <w:jc w:val="center"/>
              <w:rPr>
                <w:rFonts w:asciiTheme="minorEastAsia" w:hAnsiTheme="minorEastAsia" w:eastAsiaTheme="minorEastAsia"/>
                <w:bCs/>
                <w:iCs/>
                <w:szCs w:val="21"/>
              </w:rPr>
            </w:pPr>
            <w:r>
              <w:rPr>
                <w:rFonts w:asciiTheme="minorEastAsia" w:hAnsiTheme="minorEastAsia" w:eastAsiaTheme="minorEastAsia"/>
                <w:bCs/>
                <w:iCs/>
                <w:szCs w:val="21"/>
              </w:rPr>
              <w:t>50</w:t>
            </w:r>
            <w:r>
              <w:rPr>
                <w:rFonts w:hint="eastAsia" w:asciiTheme="minorEastAsia" w:hAnsiTheme="minorEastAsia" w:eastAsiaTheme="minorEastAsia"/>
                <w:bCs/>
                <w:iCs/>
                <w:szCs w:val="21"/>
              </w:rPr>
              <w:t>°</w:t>
            </w:r>
          </w:p>
        </w:tc>
        <w:tc>
          <w:tcPr>
            <w:tcW w:w="1093" w:type="dxa"/>
            <w:gridSpan w:val="2"/>
            <w:vAlign w:val="center"/>
          </w:tcPr>
          <w:p>
            <w:pPr>
              <w:adjustRightInd w:val="0"/>
              <w:snapToGrid w:val="0"/>
              <w:spacing w:line="240" w:lineRule="auto"/>
              <w:ind w:firstLine="0" w:firstLineChars="0"/>
              <w:jc w:val="center"/>
              <w:rPr>
                <w:bCs/>
                <w:iCs/>
                <w:sz w:val="18"/>
                <w:szCs w:val="18"/>
              </w:rPr>
            </w:pPr>
            <w:r>
              <w:rPr>
                <w:rFonts w:hint="eastAsia"/>
                <w:bCs/>
                <w:iCs/>
                <w:sz w:val="18"/>
                <w:szCs w:val="18"/>
              </w:rPr>
              <w:t>120</w:t>
            </w:r>
          </w:p>
        </w:tc>
        <w:tc>
          <w:tcPr>
            <w:tcW w:w="916"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67"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94"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1021"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952" w:type="dxa"/>
            <w:vAlign w:val="center"/>
          </w:tcPr>
          <w:p>
            <w:pPr>
              <w:adjustRightInd w:val="0"/>
              <w:snapToGrid w:val="0"/>
              <w:spacing w:line="240" w:lineRule="auto"/>
              <w:ind w:firstLine="0" w:firstLineChars="0"/>
              <w:jc w:val="center"/>
              <w:rPr>
                <w:bCs/>
                <w:iCs/>
                <w:sz w:val="18"/>
                <w:szCs w:val="18"/>
              </w:rPr>
            </w:pPr>
            <w:r>
              <w:rPr>
                <w:rFonts w:hint="eastAsia"/>
                <w:bCs/>
                <w:iCs/>
                <w:sz w:val="18"/>
                <w:szCs w:val="18"/>
              </w:rPr>
              <w:t>120</w:t>
            </w:r>
          </w:p>
        </w:tc>
        <w:tc>
          <w:tcPr>
            <w:tcW w:w="912" w:type="dxa"/>
            <w:tcBorders>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522" w:type="dxa"/>
            <w:gridSpan w:val="10"/>
            <w:tcBorders>
              <w:left w:val="single" w:color="auto" w:sz="8" w:space="0"/>
              <w:bottom w:val="single" w:color="auto" w:sz="8" w:space="0"/>
              <w:right w:val="single" w:color="auto" w:sz="8" w:space="0"/>
            </w:tcBorders>
            <w:vAlign w:val="center"/>
          </w:tcPr>
          <w:p>
            <w:pPr>
              <w:adjustRightInd w:val="0"/>
              <w:snapToGrid w:val="0"/>
              <w:spacing w:line="240" w:lineRule="auto"/>
              <w:ind w:firstLine="360"/>
              <w:rPr>
                <w:rFonts w:ascii="宋体" w:hAnsi="宋体"/>
                <w:bCs/>
                <w:iCs/>
                <w:color w:val="000000"/>
                <w:sz w:val="18"/>
                <w:szCs w:val="18"/>
              </w:rPr>
            </w:pPr>
            <w:r>
              <w:rPr>
                <w:rFonts w:hint="eastAsia" w:ascii="宋体" w:hAnsi="宋体"/>
                <w:bCs/>
                <w:iCs/>
                <w:color w:val="000000"/>
                <w:sz w:val="18"/>
                <w:szCs w:val="18"/>
              </w:rPr>
              <w:t>注：1、—表示该角度无数值要求；</w:t>
            </w:r>
          </w:p>
          <w:p>
            <w:pPr>
              <w:adjustRightInd w:val="0"/>
              <w:snapToGrid w:val="0"/>
              <w:spacing w:line="240" w:lineRule="auto"/>
              <w:ind w:firstLine="360"/>
              <w:rPr>
                <w:rFonts w:ascii="宋体" w:hAnsi="宋体"/>
                <w:bCs/>
                <w:iCs/>
                <w:color w:val="000000"/>
                <w:sz w:val="18"/>
                <w:szCs w:val="18"/>
              </w:rPr>
            </w:pPr>
            <w:r>
              <w:rPr>
                <w:rFonts w:hint="eastAsia" w:ascii="宋体" w:hAnsi="宋体"/>
                <w:bCs/>
                <w:iCs/>
                <w:color w:val="000000"/>
                <w:sz w:val="18"/>
                <w:szCs w:val="18"/>
              </w:rPr>
              <w:t>2、</w:t>
            </w:r>
            <w:r>
              <w:rPr>
                <w:rFonts w:ascii="宋体" w:hAnsi="宋体"/>
                <w:bCs/>
                <w:iCs/>
                <w:color w:val="000000"/>
                <w:sz w:val="18"/>
                <w:szCs w:val="18"/>
              </w:rPr>
              <w:t>CFR</w:t>
            </w:r>
            <w:r>
              <w:rPr>
                <w:rFonts w:hint="eastAsia" w:ascii="宋体" w:hAnsi="宋体"/>
                <w:bCs/>
                <w:iCs/>
                <w:color w:val="000000"/>
                <w:sz w:val="18"/>
                <w:szCs w:val="18"/>
              </w:rPr>
              <w:t>§</w:t>
            </w:r>
            <w:r>
              <w:rPr>
                <w:rFonts w:ascii="宋体" w:hAnsi="宋体"/>
                <w:bCs/>
                <w:iCs/>
                <w:color w:val="000000"/>
                <w:sz w:val="18"/>
                <w:szCs w:val="18"/>
              </w:rPr>
              <w:t>571.108</w:t>
            </w:r>
            <w:r>
              <w:rPr>
                <w:rFonts w:hint="eastAsia" w:ascii="宋体" w:hAnsi="宋体"/>
                <w:bCs/>
                <w:iCs/>
                <w:color w:val="000000"/>
                <w:sz w:val="18"/>
                <w:szCs w:val="18"/>
              </w:rPr>
              <w:t>标准中不允许红色垂直安装；</w:t>
            </w:r>
          </w:p>
          <w:p>
            <w:pPr>
              <w:adjustRightInd w:val="0"/>
              <w:snapToGrid w:val="0"/>
              <w:spacing w:line="240" w:lineRule="auto"/>
              <w:ind w:firstLine="360"/>
              <w:rPr>
                <w:rFonts w:asciiTheme="minorEastAsia" w:hAnsiTheme="minorEastAsia" w:eastAsiaTheme="minorEastAsia"/>
                <w:bCs/>
                <w:iCs/>
                <w:szCs w:val="21"/>
              </w:rPr>
            </w:pPr>
            <w:r>
              <w:rPr>
                <w:rFonts w:hint="eastAsia" w:ascii="宋体" w:hAnsi="宋体"/>
                <w:bCs/>
                <w:iCs/>
                <w:color w:val="000000"/>
                <w:sz w:val="18"/>
                <w:szCs w:val="18"/>
              </w:rPr>
              <w:t>3、</w:t>
            </w:r>
            <w:r>
              <w:rPr>
                <w:rFonts w:ascii="宋体" w:hAnsi="宋体"/>
                <w:bCs/>
                <w:iCs/>
                <w:color w:val="000000"/>
                <w:sz w:val="18"/>
                <w:szCs w:val="18"/>
              </w:rPr>
              <w:t>R 149 C</w:t>
            </w:r>
            <w:r>
              <w:rPr>
                <w:rFonts w:hint="eastAsia" w:ascii="宋体" w:hAnsi="宋体"/>
                <w:bCs/>
                <w:iCs/>
                <w:color w:val="000000"/>
                <w:sz w:val="18"/>
                <w:szCs w:val="18"/>
              </w:rPr>
              <w:t>级</w:t>
            </w:r>
            <w:r>
              <w:rPr>
                <w:rFonts w:ascii="宋体" w:hAnsi="宋体"/>
                <w:bCs/>
                <w:iCs/>
                <w:color w:val="000000"/>
                <w:sz w:val="18"/>
                <w:szCs w:val="18"/>
              </w:rPr>
              <w:t>发光强度系数</w:t>
            </w:r>
            <w:r>
              <w:rPr>
                <w:rFonts w:hint="eastAsia" w:ascii="宋体" w:hAnsi="宋体"/>
                <w:bCs/>
                <w:iCs/>
                <w:color w:val="000000"/>
                <w:sz w:val="18"/>
                <w:szCs w:val="18"/>
              </w:rPr>
              <w:t>根据</w:t>
            </w:r>
            <w:r>
              <w:rPr>
                <w:rFonts w:ascii="宋体" w:hAnsi="宋体"/>
                <w:bCs/>
                <w:iCs/>
                <w:color w:val="000000"/>
                <w:sz w:val="18"/>
                <w:szCs w:val="18"/>
              </w:rPr>
              <w:t>逆反射系数</w:t>
            </w:r>
            <w:r>
              <w:rPr>
                <w:rFonts w:hint="eastAsia" w:ascii="宋体" w:hAnsi="宋体"/>
                <w:bCs/>
                <w:iCs/>
                <w:color w:val="000000"/>
                <w:sz w:val="18"/>
                <w:szCs w:val="18"/>
              </w:rPr>
              <w:t>最低</w:t>
            </w:r>
            <w:r>
              <w:rPr>
                <w:rFonts w:ascii="宋体" w:hAnsi="宋体"/>
                <w:bCs/>
                <w:iCs/>
                <w:color w:val="000000"/>
                <w:sz w:val="18"/>
                <w:szCs w:val="18"/>
              </w:rPr>
              <w:t>值与面积（</w:t>
            </w:r>
            <w:r>
              <w:rPr>
                <w:rFonts w:hint="eastAsia" w:ascii="宋体" w:hAnsi="宋体"/>
                <w:bCs/>
                <w:iCs/>
                <w:color w:val="000000"/>
                <w:sz w:val="18"/>
                <w:szCs w:val="18"/>
              </w:rPr>
              <w:t>按150</w:t>
            </w:r>
            <w:r>
              <w:rPr>
                <w:rFonts w:ascii="宋体" w:hAnsi="宋体"/>
                <w:bCs/>
                <w:iCs/>
                <w:color w:val="000000"/>
                <w:sz w:val="18"/>
                <w:szCs w:val="18"/>
              </w:rPr>
              <w:t>mm长、</w:t>
            </w:r>
            <w:r>
              <w:rPr>
                <w:rFonts w:hint="eastAsia" w:ascii="宋体" w:hAnsi="宋体"/>
                <w:bCs/>
                <w:iCs/>
                <w:color w:val="000000"/>
                <w:sz w:val="18"/>
                <w:szCs w:val="18"/>
              </w:rPr>
              <w:t>50</w:t>
            </w:r>
            <w:r>
              <w:rPr>
                <w:rFonts w:ascii="宋体" w:hAnsi="宋体"/>
                <w:bCs/>
                <w:iCs/>
                <w:color w:val="000000"/>
                <w:sz w:val="18"/>
                <w:szCs w:val="18"/>
              </w:rPr>
              <w:t>mm宽）</w:t>
            </w:r>
            <w:r>
              <w:rPr>
                <w:rFonts w:hint="eastAsia" w:ascii="宋体" w:hAnsi="宋体"/>
                <w:bCs/>
                <w:iCs/>
                <w:color w:val="000000"/>
                <w:sz w:val="18"/>
                <w:szCs w:val="18"/>
              </w:rPr>
              <w:t>计算</w:t>
            </w:r>
            <w:r>
              <w:rPr>
                <w:rFonts w:ascii="宋体" w:hAnsi="宋体"/>
                <w:bCs/>
                <w:iCs/>
                <w:color w:val="000000"/>
                <w:sz w:val="18"/>
                <w:szCs w:val="18"/>
              </w:rPr>
              <w:t>得出</w:t>
            </w:r>
            <w:r>
              <w:rPr>
                <w:rFonts w:hint="eastAsia" w:ascii="宋体" w:hAnsi="宋体"/>
                <w:bCs/>
                <w:iCs/>
                <w:color w:val="000000"/>
                <w:sz w:val="18"/>
                <w:szCs w:val="18"/>
              </w:rPr>
              <w:t>。</w:t>
            </w:r>
          </w:p>
        </w:tc>
      </w:tr>
    </w:tbl>
    <w:p>
      <w:pPr>
        <w:ind w:firstLineChars="0"/>
        <w:jc w:val="center"/>
        <w:rPr>
          <w:rFonts w:ascii="黑体" w:hAnsi="黑体" w:eastAsia="黑体" w:cs="Courier"/>
          <w:kern w:val="0"/>
          <w:szCs w:val="21"/>
        </w:rPr>
      </w:pPr>
      <w:r>
        <w:rPr>
          <w:rFonts w:hint="eastAsia" w:ascii="黑体" w:hAnsi="黑体" w:eastAsia="黑体" w:cs="Courier"/>
          <w:kern w:val="0"/>
          <w:szCs w:val="21"/>
        </w:rPr>
        <w:t>表2  反光膜</w:t>
      </w:r>
      <w:r>
        <w:rPr>
          <w:rFonts w:ascii="黑体" w:hAnsi="黑体" w:eastAsia="黑体" w:cs="Courier"/>
          <w:kern w:val="0"/>
          <w:szCs w:val="21"/>
        </w:rPr>
        <w:t>型反光标识光度性能对比</w:t>
      </w:r>
    </w:p>
    <w:p>
      <w:pPr>
        <w:pStyle w:val="19"/>
        <w:ind w:left="780" w:firstLine="0" w:firstLineChars="0"/>
        <w:jc w:val="right"/>
        <w:rPr>
          <w:rFonts w:ascii="Courier" w:hAnsi="Courier" w:cs="Courier"/>
          <w:kern w:val="0"/>
          <w:szCs w:val="21"/>
        </w:rPr>
      </w:pPr>
      <w:r>
        <w:rPr>
          <w:rFonts w:hint="eastAsia" w:ascii="Courier" w:hAnsi="Courier" w:cs="Courier"/>
          <w:kern w:val="0"/>
          <w:szCs w:val="21"/>
        </w:rPr>
        <w:t>单位</w:t>
      </w:r>
      <w:r>
        <w:rPr>
          <w:rFonts w:ascii="Courier" w:hAnsi="Courier" w:cs="Courier"/>
          <w:kern w:val="0"/>
          <w:szCs w:val="21"/>
        </w:rPr>
        <w:t>：</w:t>
      </w:r>
      <w:r>
        <w:rPr>
          <w:rFonts w:hint="eastAsia" w:ascii="Courier" w:hAnsi="Courier" w:cs="Courier"/>
          <w:kern w:val="0"/>
          <w:szCs w:val="21"/>
        </w:rPr>
        <w:t>坎德拉</w:t>
      </w:r>
      <w:r>
        <w:rPr>
          <w:rFonts w:ascii="Courier" w:hAnsi="Courier" w:cs="Courier"/>
          <w:kern w:val="0"/>
          <w:szCs w:val="21"/>
        </w:rPr>
        <w:t>每勒克斯每平方米</w:t>
      </w:r>
    </w:p>
    <w:tbl>
      <w:tblPr>
        <w:tblStyle w:val="9"/>
        <w:tblpPr w:leftFromText="181" w:rightFromText="181" w:vertAnchor="text" w:horzAnchor="margin" w:tblpY="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567"/>
        <w:gridCol w:w="709"/>
        <w:gridCol w:w="614"/>
        <w:gridCol w:w="614"/>
        <w:gridCol w:w="615"/>
        <w:gridCol w:w="567"/>
        <w:gridCol w:w="567"/>
        <w:gridCol w:w="567"/>
        <w:gridCol w:w="567"/>
        <w:gridCol w:w="567"/>
        <w:gridCol w:w="614"/>
        <w:gridCol w:w="614"/>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blHeader/>
        </w:trPr>
        <w:tc>
          <w:tcPr>
            <w:tcW w:w="1975" w:type="dxa"/>
            <w:gridSpan w:val="3"/>
            <w:tcBorders>
              <w:top w:val="single" w:color="auto" w:sz="8" w:space="0"/>
              <w:left w:val="single" w:color="auto" w:sz="8" w:space="0"/>
              <w:right w:val="single" w:color="auto" w:sz="8" w:space="0"/>
            </w:tcBorders>
            <w:vAlign w:val="center"/>
          </w:tcPr>
          <w:p>
            <w:pPr>
              <w:tabs>
                <w:tab w:val="left" w:pos="1843"/>
              </w:tabs>
              <w:adjustRightInd w:val="0"/>
              <w:snapToGrid w:val="0"/>
              <w:spacing w:line="240" w:lineRule="auto"/>
              <w:ind w:firstLine="360"/>
              <w:jc w:val="center"/>
              <w:rPr>
                <w:i/>
                <w:sz w:val="18"/>
                <w:szCs w:val="18"/>
              </w:rPr>
            </w:pPr>
            <w:r>
              <w:rPr>
                <w:sz w:val="18"/>
                <w:szCs w:val="18"/>
              </w:rPr>
              <w:t>观察角</w:t>
            </w:r>
          </w:p>
        </w:tc>
        <w:tc>
          <w:tcPr>
            <w:tcW w:w="1843" w:type="dxa"/>
            <w:gridSpan w:val="3"/>
            <w:tcBorders>
              <w:top w:val="single" w:color="auto" w:sz="8" w:space="0"/>
              <w:left w:val="single" w:color="auto" w:sz="8" w:space="0"/>
              <w:bottom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lang w:eastAsia="ja-JP"/>
              </w:rPr>
              <w:t>12'</w:t>
            </w:r>
          </w:p>
        </w:tc>
        <w:tc>
          <w:tcPr>
            <w:tcW w:w="2835" w:type="dxa"/>
            <w:gridSpan w:val="5"/>
            <w:tcBorders>
              <w:top w:val="single" w:color="auto" w:sz="8" w:space="0"/>
              <w:left w:val="single" w:color="auto" w:sz="4" w:space="0"/>
              <w:bottom w:val="single" w:color="auto" w:sz="4" w:space="0"/>
              <w:right w:val="single" w:color="auto" w:sz="8" w:space="0"/>
            </w:tcBorders>
            <w:vAlign w:val="center"/>
          </w:tcPr>
          <w:p>
            <w:pPr>
              <w:tabs>
                <w:tab w:val="left" w:pos="1843"/>
              </w:tabs>
              <w:adjustRightInd w:val="0"/>
              <w:snapToGrid w:val="0"/>
              <w:spacing w:line="240" w:lineRule="auto"/>
              <w:ind w:firstLineChars="111"/>
              <w:jc w:val="center"/>
              <w:rPr>
                <w:sz w:val="18"/>
                <w:szCs w:val="18"/>
                <w:lang w:eastAsia="ja-JP"/>
              </w:rPr>
            </w:pPr>
            <w:r>
              <w:rPr>
                <w:bCs/>
                <w:iCs/>
                <w:sz w:val="18"/>
                <w:szCs w:val="18"/>
              </w:rPr>
              <w:t>20＇</w:t>
            </w:r>
          </w:p>
        </w:tc>
        <w:tc>
          <w:tcPr>
            <w:tcW w:w="1842" w:type="dxa"/>
            <w:gridSpan w:val="3"/>
            <w:tcBorders>
              <w:top w:val="single" w:color="auto" w:sz="8" w:space="0"/>
              <w:left w:val="single" w:color="auto" w:sz="4" w:space="0"/>
              <w:bottom w:val="single" w:color="auto" w:sz="4" w:space="0"/>
              <w:right w:val="single" w:color="auto" w:sz="8" w:space="0"/>
            </w:tcBorders>
            <w:vAlign w:val="center"/>
          </w:tcPr>
          <w:p>
            <w:pPr>
              <w:tabs>
                <w:tab w:val="left" w:pos="1843"/>
              </w:tabs>
              <w:adjustRightInd w:val="0"/>
              <w:snapToGrid w:val="0"/>
              <w:spacing w:line="240" w:lineRule="auto"/>
              <w:ind w:firstLineChars="111"/>
              <w:jc w:val="center"/>
              <w:rPr>
                <w:sz w:val="18"/>
                <w:szCs w:val="18"/>
                <w:lang w:eastAsia="ja-JP"/>
              </w:rPr>
            </w:pPr>
            <w:r>
              <w:rPr>
                <w:bCs/>
                <w:iCs/>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699" w:type="dxa"/>
            <w:vMerge w:val="restart"/>
            <w:tcBorders>
              <w:left w:val="single" w:color="auto" w:sz="8" w:space="0"/>
              <w:right w:val="single" w:color="auto" w:sz="4" w:space="0"/>
            </w:tcBorders>
            <w:vAlign w:val="center"/>
          </w:tcPr>
          <w:p>
            <w:pPr>
              <w:tabs>
                <w:tab w:val="left" w:pos="1843"/>
              </w:tabs>
              <w:adjustRightInd w:val="0"/>
              <w:snapToGrid w:val="0"/>
              <w:spacing w:line="240" w:lineRule="auto"/>
              <w:ind w:firstLine="0" w:firstLineChars="0"/>
              <w:rPr>
                <w:sz w:val="18"/>
                <w:szCs w:val="18"/>
              </w:rPr>
            </w:pPr>
            <w:r>
              <w:rPr>
                <w:sz w:val="18"/>
                <w:szCs w:val="18"/>
              </w:rPr>
              <w:t>照射角</w:t>
            </w:r>
          </w:p>
        </w:tc>
        <w:tc>
          <w:tcPr>
            <w:tcW w:w="1276" w:type="dxa"/>
            <w:gridSpan w:val="2"/>
            <w:tcBorders>
              <w:top w:val="single" w:color="auto" w:sz="4" w:space="0"/>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lang w:eastAsia="ja-JP"/>
              </w:rPr>
              <w:t>β</w:t>
            </w:r>
            <w:r>
              <w:rPr>
                <w:sz w:val="18"/>
                <w:szCs w:val="18"/>
                <w:vertAlign w:val="subscript"/>
                <w:lang w:eastAsia="ja-JP"/>
              </w:rPr>
              <w:t>1</w:t>
            </w:r>
            <w:r>
              <w:rPr>
                <w:sz w:val="18"/>
                <w:szCs w:val="18"/>
                <w:lang w:eastAsia="ja-JP"/>
              </w:rPr>
              <w:t xml:space="preserve"> (</w:t>
            </w:r>
            <w:r>
              <w:rPr>
                <w:sz w:val="18"/>
                <w:szCs w:val="18"/>
              </w:rPr>
              <w:t>垂直</w:t>
            </w:r>
            <w:r>
              <w:rPr>
                <w:sz w:val="18"/>
                <w:szCs w:val="18"/>
                <w:lang w:eastAsia="ja-JP"/>
              </w:rPr>
              <w:t>V)</w:t>
            </w:r>
          </w:p>
        </w:tc>
        <w:tc>
          <w:tcPr>
            <w:tcW w:w="614" w:type="dxa"/>
            <w:tcBorders>
              <w:top w:val="single" w:color="auto" w:sz="4" w:space="0"/>
              <w:left w:val="single" w:color="auto" w:sz="8"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0°</w:t>
            </w:r>
          </w:p>
        </w:tc>
        <w:tc>
          <w:tcPr>
            <w:tcW w:w="614" w:type="dxa"/>
            <w:tcBorders>
              <w:top w:val="single" w:color="auto" w:sz="4" w:space="0"/>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0°</w:t>
            </w:r>
          </w:p>
        </w:tc>
        <w:tc>
          <w:tcPr>
            <w:tcW w:w="615" w:type="dxa"/>
            <w:tcBorders>
              <w:top w:val="single" w:color="auto" w:sz="4" w:space="0"/>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rFonts w:eastAsia="MS Mincho"/>
                <w:sz w:val="18"/>
                <w:szCs w:val="18"/>
                <w:lang w:eastAsia="ja-JP"/>
              </w:rPr>
            </w:pPr>
            <w:r>
              <w:rPr>
                <w:sz w:val="18"/>
                <w:szCs w:val="18"/>
              </w:rPr>
              <w:t>0°</w:t>
            </w:r>
          </w:p>
        </w:tc>
        <w:tc>
          <w:tcPr>
            <w:tcW w:w="567" w:type="dxa"/>
            <w:tcBorders>
              <w:top w:val="single" w:color="auto" w:sz="4" w:space="0"/>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rPr>
            </w:pPr>
            <w:r>
              <w:rPr>
                <w:rFonts w:hint="eastAsia"/>
                <w:sz w:val="18"/>
                <w:szCs w:val="18"/>
              </w:rPr>
              <w:t>0</w:t>
            </w:r>
            <w:r>
              <w:rPr>
                <w:sz w:val="18"/>
                <w:szCs w:val="18"/>
              </w:rPr>
              <w:t>°</w:t>
            </w:r>
          </w:p>
        </w:tc>
        <w:tc>
          <w:tcPr>
            <w:tcW w:w="567" w:type="dxa"/>
            <w:tcBorders>
              <w:top w:val="single" w:color="auto" w:sz="4" w:space="0"/>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rPr>
            </w:pPr>
            <w:r>
              <w:rPr>
                <w:rFonts w:hint="eastAsia"/>
                <w:sz w:val="18"/>
                <w:szCs w:val="18"/>
              </w:rPr>
              <w:t>0</w:t>
            </w:r>
            <w:r>
              <w:rPr>
                <w:sz w:val="18"/>
                <w:szCs w:val="18"/>
              </w:rPr>
              <w:t>°</w:t>
            </w:r>
          </w:p>
        </w:tc>
        <w:tc>
          <w:tcPr>
            <w:tcW w:w="567" w:type="dxa"/>
            <w:tcBorders>
              <w:top w:val="single" w:color="auto" w:sz="4" w:space="0"/>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rPr>
            </w:pPr>
            <w:r>
              <w:rPr>
                <w:rFonts w:hint="eastAsia"/>
                <w:sz w:val="18"/>
                <w:szCs w:val="18"/>
              </w:rPr>
              <w:t>0</w:t>
            </w:r>
            <w:r>
              <w:rPr>
                <w:sz w:val="18"/>
                <w:szCs w:val="18"/>
              </w:rPr>
              <w:t>°</w:t>
            </w:r>
          </w:p>
        </w:tc>
        <w:tc>
          <w:tcPr>
            <w:tcW w:w="567" w:type="dxa"/>
            <w:tcBorders>
              <w:top w:val="single" w:color="auto" w:sz="4" w:space="0"/>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rPr>
            </w:pPr>
            <w:r>
              <w:rPr>
                <w:rFonts w:hint="eastAsia"/>
                <w:sz w:val="18"/>
                <w:szCs w:val="18"/>
              </w:rPr>
              <w:t>0</w:t>
            </w:r>
            <w:r>
              <w:rPr>
                <w:sz w:val="18"/>
                <w:szCs w:val="18"/>
              </w:rPr>
              <w:t>°</w:t>
            </w:r>
          </w:p>
        </w:tc>
        <w:tc>
          <w:tcPr>
            <w:tcW w:w="567" w:type="dxa"/>
            <w:tcBorders>
              <w:top w:val="single" w:color="auto" w:sz="4" w:space="0"/>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rPr>
            </w:pPr>
            <w:r>
              <w:rPr>
                <w:rFonts w:hint="eastAsia"/>
                <w:sz w:val="18"/>
                <w:szCs w:val="18"/>
              </w:rPr>
              <w:t>0</w:t>
            </w:r>
            <w:r>
              <w:rPr>
                <w:sz w:val="18"/>
                <w:szCs w:val="18"/>
              </w:rPr>
              <w:t>°</w:t>
            </w:r>
          </w:p>
        </w:tc>
        <w:tc>
          <w:tcPr>
            <w:tcW w:w="614" w:type="dxa"/>
            <w:tcBorders>
              <w:top w:val="single" w:color="auto" w:sz="4" w:space="0"/>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0°</w:t>
            </w:r>
          </w:p>
        </w:tc>
        <w:tc>
          <w:tcPr>
            <w:tcW w:w="614" w:type="dxa"/>
            <w:tcBorders>
              <w:top w:val="single" w:color="auto" w:sz="4" w:space="0"/>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0°</w:t>
            </w:r>
          </w:p>
        </w:tc>
        <w:tc>
          <w:tcPr>
            <w:tcW w:w="614" w:type="dxa"/>
            <w:tcBorders>
              <w:top w:val="single" w:color="auto" w:sz="4" w:space="0"/>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rFonts w:eastAsia="MS Mincho"/>
                <w:sz w:val="18"/>
                <w:szCs w:val="18"/>
                <w:lang w:eastAsia="ja-JP"/>
              </w:rPr>
            </w:pP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699" w:type="dxa"/>
            <w:vMerge w:val="continue"/>
            <w:tcBorders>
              <w:left w:val="single" w:color="auto" w:sz="8" w:space="0"/>
              <w:bottom w:val="single" w:color="auto" w:sz="4" w:space="0"/>
              <w:right w:val="single" w:color="auto" w:sz="4" w:space="0"/>
            </w:tcBorders>
            <w:vAlign w:val="center"/>
          </w:tcPr>
          <w:p>
            <w:pPr>
              <w:tabs>
                <w:tab w:val="left" w:pos="1843"/>
              </w:tabs>
              <w:adjustRightInd w:val="0"/>
              <w:snapToGrid w:val="0"/>
              <w:spacing w:line="240" w:lineRule="auto"/>
              <w:ind w:firstLine="360"/>
              <w:jc w:val="center"/>
              <w:rPr>
                <w:sz w:val="18"/>
                <w:szCs w:val="18"/>
              </w:rPr>
            </w:pPr>
          </w:p>
        </w:tc>
        <w:tc>
          <w:tcPr>
            <w:tcW w:w="1276" w:type="dxa"/>
            <w:gridSpan w:val="2"/>
            <w:tcBorders>
              <w:left w:val="single" w:color="auto" w:sz="4" w:space="0"/>
              <w:bottom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lang w:eastAsia="ja-JP"/>
              </w:rPr>
              <w:t>β</w:t>
            </w:r>
            <w:r>
              <w:rPr>
                <w:sz w:val="18"/>
                <w:szCs w:val="18"/>
                <w:vertAlign w:val="subscript"/>
                <w:lang w:eastAsia="ja-JP"/>
              </w:rPr>
              <w:t>2</w:t>
            </w:r>
            <w:r>
              <w:rPr>
                <w:sz w:val="18"/>
                <w:szCs w:val="18"/>
                <w:lang w:eastAsia="ja-JP"/>
              </w:rPr>
              <w:t xml:space="preserve"> (</w:t>
            </w:r>
            <w:r>
              <w:rPr>
                <w:sz w:val="18"/>
                <w:szCs w:val="18"/>
              </w:rPr>
              <w:t>水平</w:t>
            </w:r>
            <w:r>
              <w:rPr>
                <w:sz w:val="18"/>
                <w:szCs w:val="18"/>
                <w:lang w:eastAsia="ja-JP"/>
              </w:rPr>
              <w:t>H)</w:t>
            </w:r>
          </w:p>
        </w:tc>
        <w:tc>
          <w:tcPr>
            <w:tcW w:w="614" w:type="dxa"/>
            <w:tcBorders>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-4°</w:t>
            </w:r>
          </w:p>
        </w:tc>
        <w:tc>
          <w:tcPr>
            <w:tcW w:w="614"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30°</w:t>
            </w:r>
          </w:p>
        </w:tc>
        <w:tc>
          <w:tcPr>
            <w:tcW w:w="615"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45°</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5</w:t>
            </w:r>
            <w:r>
              <w:rPr>
                <w:bCs/>
                <w:iCs/>
                <w:sz w:val="18"/>
                <w:szCs w:val="18"/>
              </w:rPr>
              <w:t>°</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20°</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30°</w:t>
            </w:r>
          </w:p>
        </w:tc>
        <w:tc>
          <w:tcPr>
            <w:tcW w:w="567"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40°</w:t>
            </w:r>
          </w:p>
        </w:tc>
        <w:tc>
          <w:tcPr>
            <w:tcW w:w="567"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60°</w:t>
            </w:r>
          </w:p>
        </w:tc>
        <w:tc>
          <w:tcPr>
            <w:tcW w:w="614"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-4°</w:t>
            </w:r>
          </w:p>
        </w:tc>
        <w:tc>
          <w:tcPr>
            <w:tcW w:w="614"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30°</w:t>
            </w:r>
          </w:p>
        </w:tc>
        <w:tc>
          <w:tcPr>
            <w:tcW w:w="614"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699" w:type="dxa"/>
            <w:vMerge w:val="restart"/>
            <w:tcBorders>
              <w:left w:val="single" w:color="auto" w:sz="8" w:space="0"/>
              <w:bottom w:val="single" w:color="auto" w:sz="8" w:space="0"/>
              <w:right w:val="single" w:color="auto" w:sz="4" w:space="0"/>
            </w:tcBorders>
            <w:vAlign w:val="center"/>
          </w:tcPr>
          <w:p>
            <w:pPr>
              <w:tabs>
                <w:tab w:val="left" w:pos="1843"/>
              </w:tabs>
              <w:adjustRightInd w:val="0"/>
              <w:snapToGrid w:val="0"/>
              <w:spacing w:line="240" w:lineRule="auto"/>
              <w:ind w:firstLine="0" w:firstLineChars="0"/>
              <w:rPr>
                <w:sz w:val="18"/>
                <w:szCs w:val="18"/>
              </w:rPr>
            </w:pPr>
            <w:r>
              <w:rPr>
                <w:rFonts w:hint="eastAsia"/>
                <w:sz w:val="18"/>
                <w:szCs w:val="18"/>
              </w:rPr>
              <w:t>本标准</w:t>
            </w:r>
          </w:p>
        </w:tc>
        <w:tc>
          <w:tcPr>
            <w:tcW w:w="567" w:type="dxa"/>
            <w:vMerge w:val="restart"/>
            <w:tcBorders>
              <w:left w:val="single" w:color="auto" w:sz="4" w:space="0"/>
              <w:right w:val="single" w:color="auto" w:sz="4" w:space="0"/>
            </w:tcBorders>
            <w:vAlign w:val="center"/>
          </w:tcPr>
          <w:p>
            <w:pPr>
              <w:tabs>
                <w:tab w:val="left" w:pos="1843"/>
              </w:tabs>
              <w:adjustRightInd w:val="0"/>
              <w:snapToGrid w:val="0"/>
              <w:spacing w:line="240" w:lineRule="auto"/>
              <w:ind w:firstLine="0" w:firstLineChars="0"/>
              <w:rPr>
                <w:sz w:val="18"/>
                <w:szCs w:val="18"/>
                <w:lang w:eastAsia="ja-JP"/>
              </w:rPr>
            </w:pPr>
            <w:r>
              <w:rPr>
                <w:rFonts w:hint="eastAsia"/>
                <w:sz w:val="18"/>
                <w:szCs w:val="18"/>
              </w:rPr>
              <w:t>一级</w:t>
            </w:r>
          </w:p>
        </w:tc>
        <w:tc>
          <w:tcPr>
            <w:tcW w:w="709" w:type="dxa"/>
            <w:tcBorders>
              <w:left w:val="single" w:color="auto" w:sz="4" w:space="0"/>
              <w:bottom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rPr>
            </w:pPr>
            <w:r>
              <w:rPr>
                <w:sz w:val="18"/>
                <w:szCs w:val="18"/>
              </w:rPr>
              <w:t>白色</w:t>
            </w:r>
          </w:p>
        </w:tc>
        <w:tc>
          <w:tcPr>
            <w:tcW w:w="614" w:type="dxa"/>
            <w:tcBorders>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500</w:t>
            </w:r>
          </w:p>
        </w:tc>
        <w:tc>
          <w:tcPr>
            <w:tcW w:w="614" w:type="dxa"/>
            <w:tcBorders>
              <w:left w:val="single" w:color="auto" w:sz="4" w:space="0"/>
              <w:bottom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375</w:t>
            </w:r>
          </w:p>
        </w:tc>
        <w:tc>
          <w:tcPr>
            <w:tcW w:w="615" w:type="dxa"/>
            <w:tcBorders>
              <w:left w:val="single" w:color="auto" w:sz="4" w:space="0"/>
              <w:bottom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90</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130</w:t>
            </w:r>
          </w:p>
        </w:tc>
        <w:tc>
          <w:tcPr>
            <w:tcW w:w="614" w:type="dxa"/>
            <w:tcBorders>
              <w:left w:val="single" w:color="auto" w:sz="4" w:space="0"/>
              <w:bottom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100</w:t>
            </w:r>
          </w:p>
        </w:tc>
        <w:tc>
          <w:tcPr>
            <w:tcW w:w="614" w:type="dxa"/>
            <w:tcBorders>
              <w:left w:val="single" w:color="auto" w:sz="4" w:space="0"/>
              <w:bottom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699" w:type="dxa"/>
            <w:vMerge w:val="continue"/>
            <w:tcBorders>
              <w:left w:val="single" w:color="auto" w:sz="8" w:space="0"/>
              <w:bottom w:val="single" w:color="auto" w:sz="8" w:space="0"/>
              <w:right w:val="single" w:color="auto" w:sz="4" w:space="0"/>
            </w:tcBorders>
            <w:vAlign w:val="center"/>
          </w:tcPr>
          <w:p>
            <w:pPr>
              <w:tabs>
                <w:tab w:val="left" w:pos="1843"/>
              </w:tabs>
              <w:adjustRightInd w:val="0"/>
              <w:snapToGrid w:val="0"/>
              <w:spacing w:line="240" w:lineRule="auto"/>
              <w:ind w:firstLine="360"/>
              <w:jc w:val="center"/>
              <w:rPr>
                <w:sz w:val="18"/>
                <w:szCs w:val="18"/>
                <w:lang w:eastAsia="ja-JP"/>
              </w:rPr>
            </w:pPr>
          </w:p>
        </w:tc>
        <w:tc>
          <w:tcPr>
            <w:tcW w:w="567" w:type="dxa"/>
            <w:vMerge w:val="continue"/>
            <w:tcBorders>
              <w:left w:val="single" w:color="auto" w:sz="4" w:space="0"/>
              <w:right w:val="single" w:color="auto" w:sz="4" w:space="0"/>
            </w:tcBorders>
            <w:vAlign w:val="center"/>
          </w:tcPr>
          <w:p>
            <w:pPr>
              <w:tabs>
                <w:tab w:val="left" w:pos="1843"/>
              </w:tabs>
              <w:adjustRightInd w:val="0"/>
              <w:snapToGrid w:val="0"/>
              <w:spacing w:line="240" w:lineRule="auto"/>
              <w:ind w:firstLine="360"/>
              <w:jc w:val="center"/>
              <w:rPr>
                <w:sz w:val="18"/>
                <w:szCs w:val="18"/>
                <w:lang w:eastAsia="ja-JP"/>
              </w:rPr>
            </w:pPr>
          </w:p>
        </w:tc>
        <w:tc>
          <w:tcPr>
            <w:tcW w:w="709"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红色</w:t>
            </w:r>
          </w:p>
        </w:tc>
        <w:tc>
          <w:tcPr>
            <w:tcW w:w="614" w:type="dxa"/>
            <w:tcBorders>
              <w:left w:val="single" w:color="auto" w:sz="8"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120</w:t>
            </w:r>
          </w:p>
        </w:tc>
        <w:tc>
          <w:tcPr>
            <w:tcW w:w="614" w:type="dxa"/>
            <w:tcBorders>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90</w:t>
            </w:r>
          </w:p>
        </w:tc>
        <w:tc>
          <w:tcPr>
            <w:tcW w:w="615" w:type="dxa"/>
            <w:tcBorders>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25</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30</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25</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699" w:type="dxa"/>
            <w:vMerge w:val="continue"/>
            <w:tcBorders>
              <w:left w:val="single" w:color="auto" w:sz="8" w:space="0"/>
              <w:bottom w:val="single" w:color="auto" w:sz="8" w:space="0"/>
              <w:right w:val="single" w:color="auto" w:sz="4" w:space="0"/>
            </w:tcBorders>
            <w:vAlign w:val="center"/>
          </w:tcPr>
          <w:p>
            <w:pPr>
              <w:tabs>
                <w:tab w:val="left" w:pos="1843"/>
              </w:tabs>
              <w:adjustRightInd w:val="0"/>
              <w:snapToGrid w:val="0"/>
              <w:spacing w:line="240" w:lineRule="auto"/>
              <w:ind w:firstLine="360"/>
              <w:jc w:val="center"/>
              <w:rPr>
                <w:sz w:val="18"/>
                <w:szCs w:val="18"/>
                <w:lang w:eastAsia="ja-JP"/>
              </w:rPr>
            </w:pPr>
          </w:p>
        </w:tc>
        <w:tc>
          <w:tcPr>
            <w:tcW w:w="567" w:type="dxa"/>
            <w:vMerge w:val="restart"/>
            <w:tcBorders>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lang w:eastAsia="ja-JP"/>
              </w:rPr>
            </w:pPr>
            <w:r>
              <w:rPr>
                <w:rFonts w:hint="eastAsia"/>
                <w:sz w:val="18"/>
                <w:szCs w:val="18"/>
              </w:rPr>
              <w:t>二</w:t>
            </w:r>
            <w:r>
              <w:rPr>
                <w:sz w:val="18"/>
                <w:szCs w:val="18"/>
              </w:rPr>
              <w:t>级</w:t>
            </w:r>
          </w:p>
        </w:tc>
        <w:tc>
          <w:tcPr>
            <w:tcW w:w="709"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rPr>
            </w:pPr>
            <w:r>
              <w:rPr>
                <w:sz w:val="18"/>
                <w:szCs w:val="18"/>
              </w:rPr>
              <w:t>白色</w:t>
            </w:r>
          </w:p>
        </w:tc>
        <w:tc>
          <w:tcPr>
            <w:tcW w:w="614" w:type="dxa"/>
            <w:tcBorders>
              <w:left w:val="single" w:color="auto" w:sz="8"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350</w:t>
            </w:r>
          </w:p>
        </w:tc>
        <w:tc>
          <w:tcPr>
            <w:tcW w:w="614" w:type="dxa"/>
            <w:tcBorders>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250</w:t>
            </w:r>
          </w:p>
        </w:tc>
        <w:tc>
          <w:tcPr>
            <w:tcW w:w="615" w:type="dxa"/>
            <w:tcBorders>
              <w:left w:val="single" w:color="auto" w:sz="4" w:space="0"/>
              <w:right w:val="single" w:color="auto" w:sz="4"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60</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90</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70</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699" w:type="dxa"/>
            <w:vMerge w:val="continue"/>
            <w:tcBorders>
              <w:left w:val="single" w:color="auto" w:sz="8" w:space="0"/>
              <w:right w:val="single" w:color="auto" w:sz="4" w:space="0"/>
            </w:tcBorders>
            <w:vAlign w:val="center"/>
          </w:tcPr>
          <w:p>
            <w:pPr>
              <w:tabs>
                <w:tab w:val="left" w:pos="1843"/>
              </w:tabs>
              <w:adjustRightInd w:val="0"/>
              <w:snapToGrid w:val="0"/>
              <w:spacing w:line="240" w:lineRule="auto"/>
              <w:ind w:firstLine="360"/>
              <w:jc w:val="center"/>
              <w:rPr>
                <w:sz w:val="18"/>
                <w:szCs w:val="18"/>
                <w:lang w:eastAsia="ja-JP"/>
              </w:rPr>
            </w:pPr>
          </w:p>
        </w:tc>
        <w:tc>
          <w:tcPr>
            <w:tcW w:w="567" w:type="dxa"/>
            <w:vMerge w:val="continue"/>
            <w:tcBorders>
              <w:left w:val="single" w:color="auto" w:sz="4" w:space="0"/>
              <w:right w:val="single" w:color="auto" w:sz="4" w:space="0"/>
            </w:tcBorders>
            <w:vAlign w:val="center"/>
          </w:tcPr>
          <w:p>
            <w:pPr>
              <w:tabs>
                <w:tab w:val="left" w:pos="1843"/>
              </w:tabs>
              <w:adjustRightInd w:val="0"/>
              <w:snapToGrid w:val="0"/>
              <w:spacing w:line="240" w:lineRule="auto"/>
              <w:ind w:firstLine="360"/>
              <w:jc w:val="center"/>
              <w:rPr>
                <w:sz w:val="18"/>
                <w:szCs w:val="18"/>
                <w:lang w:eastAsia="ja-JP"/>
              </w:rPr>
            </w:pPr>
          </w:p>
        </w:tc>
        <w:tc>
          <w:tcPr>
            <w:tcW w:w="709"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红色</w:t>
            </w:r>
          </w:p>
        </w:tc>
        <w:tc>
          <w:tcPr>
            <w:tcW w:w="614" w:type="dxa"/>
            <w:tcBorders>
              <w:left w:val="single" w:color="auto" w:sz="8"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80</w:t>
            </w:r>
          </w:p>
        </w:tc>
        <w:tc>
          <w:tcPr>
            <w:tcW w:w="614"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60</w:t>
            </w:r>
          </w:p>
        </w:tc>
        <w:tc>
          <w:tcPr>
            <w:tcW w:w="615"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bCs/>
                <w:iCs/>
                <w:sz w:val="18"/>
                <w:szCs w:val="18"/>
              </w:rPr>
              <w:t>15</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bCs/>
                <w:iCs/>
                <w:sz w:val="18"/>
                <w:szCs w:val="18"/>
              </w:rPr>
              <w:t>20</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15</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bCs/>
                <w:iCs/>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266" w:type="dxa"/>
            <w:gridSpan w:val="2"/>
            <w:vMerge w:val="restart"/>
            <w:tcBorders>
              <w:left w:val="single" w:color="auto" w:sz="8"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rPr>
            </w:pPr>
            <w:r>
              <w:rPr>
                <w:sz w:val="18"/>
                <w:szCs w:val="18"/>
              </w:rPr>
              <w:t>CFR</w:t>
            </w:r>
            <w:r>
              <w:rPr>
                <w:rFonts w:hint="eastAsia"/>
                <w:sz w:val="18"/>
                <w:szCs w:val="18"/>
              </w:rPr>
              <w:t>§</w:t>
            </w:r>
            <w:r>
              <w:rPr>
                <w:sz w:val="18"/>
                <w:szCs w:val="18"/>
              </w:rPr>
              <w:t>571.108</w:t>
            </w:r>
          </w:p>
          <w:p>
            <w:pPr>
              <w:tabs>
                <w:tab w:val="left" w:pos="1843"/>
              </w:tabs>
              <w:adjustRightInd w:val="0"/>
              <w:snapToGrid w:val="0"/>
              <w:spacing w:line="240" w:lineRule="auto"/>
              <w:ind w:firstLine="0" w:firstLineChars="0"/>
              <w:jc w:val="center"/>
              <w:rPr>
                <w:sz w:val="18"/>
                <w:szCs w:val="18"/>
              </w:rPr>
            </w:pPr>
            <w:r>
              <w:rPr>
                <w:rFonts w:hint="eastAsia"/>
                <w:sz w:val="18"/>
                <w:szCs w:val="18"/>
              </w:rPr>
              <w:t>中DOT</w:t>
            </w:r>
            <w:r>
              <w:rPr>
                <w:sz w:val="18"/>
                <w:szCs w:val="18"/>
              </w:rPr>
              <w:t>-C2</w:t>
            </w:r>
          </w:p>
        </w:tc>
        <w:tc>
          <w:tcPr>
            <w:tcW w:w="709"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rPr>
            </w:pPr>
            <w:r>
              <w:rPr>
                <w:sz w:val="18"/>
                <w:szCs w:val="18"/>
              </w:rPr>
              <w:t>白色</w:t>
            </w:r>
          </w:p>
        </w:tc>
        <w:tc>
          <w:tcPr>
            <w:tcW w:w="614" w:type="dxa"/>
            <w:tcBorders>
              <w:left w:val="single" w:color="auto" w:sz="8"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250</w:t>
            </w:r>
          </w:p>
        </w:tc>
        <w:tc>
          <w:tcPr>
            <w:tcW w:w="614"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250</w:t>
            </w:r>
          </w:p>
        </w:tc>
        <w:tc>
          <w:tcPr>
            <w:tcW w:w="615"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60</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65</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rFonts w:hint="eastAsia"/>
                <w:bCs/>
                <w:iCs/>
                <w:sz w:val="18"/>
                <w:szCs w:val="18"/>
              </w:rPr>
              <w:t>65</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rFonts w:hint="eastAsia"/>
                <w:bCs/>
                <w:iCs/>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266" w:type="dxa"/>
            <w:gridSpan w:val="2"/>
            <w:vMerge w:val="continue"/>
            <w:tcBorders>
              <w:left w:val="single" w:color="auto" w:sz="8" w:space="0"/>
              <w:right w:val="single" w:color="auto" w:sz="4" w:space="0"/>
            </w:tcBorders>
            <w:vAlign w:val="center"/>
          </w:tcPr>
          <w:p>
            <w:pPr>
              <w:tabs>
                <w:tab w:val="left" w:pos="1843"/>
              </w:tabs>
              <w:adjustRightInd w:val="0"/>
              <w:snapToGrid w:val="0"/>
              <w:spacing w:line="240" w:lineRule="auto"/>
              <w:ind w:firstLine="360"/>
              <w:jc w:val="center"/>
              <w:rPr>
                <w:sz w:val="18"/>
                <w:szCs w:val="18"/>
              </w:rPr>
            </w:pPr>
          </w:p>
        </w:tc>
        <w:tc>
          <w:tcPr>
            <w:tcW w:w="709"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红色</w:t>
            </w:r>
          </w:p>
        </w:tc>
        <w:tc>
          <w:tcPr>
            <w:tcW w:w="614" w:type="dxa"/>
            <w:tcBorders>
              <w:left w:val="single" w:color="auto" w:sz="8"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60</w:t>
            </w:r>
          </w:p>
        </w:tc>
        <w:tc>
          <w:tcPr>
            <w:tcW w:w="614"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60</w:t>
            </w:r>
          </w:p>
        </w:tc>
        <w:tc>
          <w:tcPr>
            <w:tcW w:w="615"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15</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15</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rFonts w:hint="eastAsia"/>
                <w:bCs/>
                <w:iCs/>
                <w:sz w:val="18"/>
                <w:szCs w:val="18"/>
              </w:rPr>
              <w:t>15</w:t>
            </w:r>
          </w:p>
        </w:tc>
        <w:tc>
          <w:tcPr>
            <w:tcW w:w="614"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bCs/>
                <w:iCs/>
                <w:sz w:val="18"/>
                <w:szCs w:val="18"/>
              </w:rPr>
            </w:pPr>
            <w:r>
              <w:rPr>
                <w:rFonts w:hint="eastAsia"/>
                <w:bCs/>
                <w:iCs/>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266" w:type="dxa"/>
            <w:gridSpan w:val="2"/>
            <w:vMerge w:val="restart"/>
            <w:tcBorders>
              <w:left w:val="single" w:color="auto" w:sz="8" w:space="0"/>
              <w:right w:val="single" w:color="auto" w:sz="4" w:space="0"/>
            </w:tcBorders>
            <w:vAlign w:val="center"/>
          </w:tcPr>
          <w:p>
            <w:pPr>
              <w:tabs>
                <w:tab w:val="left" w:pos="1843"/>
              </w:tabs>
              <w:adjustRightInd w:val="0"/>
              <w:snapToGrid w:val="0"/>
              <w:spacing w:line="240" w:lineRule="auto"/>
              <w:ind w:firstLine="0" w:firstLineChars="0"/>
              <w:jc w:val="center"/>
              <w:rPr>
                <w:sz w:val="18"/>
                <w:szCs w:val="18"/>
              </w:rPr>
            </w:pPr>
            <w:r>
              <w:rPr>
                <w:rFonts w:hint="eastAsia"/>
                <w:sz w:val="18"/>
                <w:szCs w:val="18"/>
              </w:rPr>
              <w:t>R 150中</w:t>
            </w:r>
            <w:r>
              <w:rPr>
                <w:sz w:val="18"/>
                <w:szCs w:val="18"/>
              </w:rPr>
              <w:t>C</w:t>
            </w:r>
            <w:r>
              <w:rPr>
                <w:rFonts w:hint="eastAsia"/>
                <w:sz w:val="18"/>
                <w:szCs w:val="18"/>
              </w:rPr>
              <w:t>级</w:t>
            </w:r>
          </w:p>
        </w:tc>
        <w:tc>
          <w:tcPr>
            <w:tcW w:w="709" w:type="dxa"/>
            <w:tcBorders>
              <w:left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rPr>
            </w:pPr>
            <w:r>
              <w:rPr>
                <w:sz w:val="18"/>
                <w:szCs w:val="18"/>
              </w:rPr>
              <w:t>白色</w:t>
            </w:r>
          </w:p>
        </w:tc>
        <w:tc>
          <w:tcPr>
            <w:tcW w:w="614" w:type="dxa"/>
            <w:tcBorders>
              <w:left w:val="single" w:color="auto" w:sz="8"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450</w:t>
            </w:r>
          </w:p>
        </w:tc>
        <w:tc>
          <w:tcPr>
            <w:tcW w:w="614"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5"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450</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200</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90</w:t>
            </w:r>
          </w:p>
        </w:tc>
        <w:tc>
          <w:tcPr>
            <w:tcW w:w="567"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16</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266" w:type="dxa"/>
            <w:gridSpan w:val="2"/>
            <w:vMerge w:val="continue"/>
            <w:tcBorders>
              <w:left w:val="single" w:color="auto" w:sz="8" w:space="0"/>
              <w:bottom w:val="single" w:color="auto" w:sz="8" w:space="0"/>
              <w:right w:val="single" w:color="auto" w:sz="4" w:space="0"/>
            </w:tcBorders>
            <w:vAlign w:val="center"/>
          </w:tcPr>
          <w:p>
            <w:pPr>
              <w:tabs>
                <w:tab w:val="left" w:pos="1843"/>
              </w:tabs>
              <w:adjustRightInd w:val="0"/>
              <w:snapToGrid w:val="0"/>
              <w:spacing w:line="240" w:lineRule="auto"/>
              <w:ind w:firstLine="360"/>
              <w:jc w:val="center"/>
              <w:rPr>
                <w:rFonts w:eastAsia="MS Mincho"/>
                <w:sz w:val="18"/>
                <w:szCs w:val="18"/>
                <w:lang w:eastAsia="ja-JP"/>
              </w:rPr>
            </w:pPr>
          </w:p>
        </w:tc>
        <w:tc>
          <w:tcPr>
            <w:tcW w:w="709" w:type="dxa"/>
            <w:tcBorders>
              <w:left w:val="single" w:color="auto" w:sz="4" w:space="0"/>
              <w:bottom w:val="single" w:color="auto" w:sz="4" w:space="0"/>
              <w:right w:val="single" w:color="auto" w:sz="8" w:space="0"/>
            </w:tcBorders>
            <w:vAlign w:val="center"/>
          </w:tcPr>
          <w:p>
            <w:pPr>
              <w:tabs>
                <w:tab w:val="left" w:pos="1843"/>
              </w:tabs>
              <w:adjustRightInd w:val="0"/>
              <w:snapToGrid w:val="0"/>
              <w:spacing w:line="240" w:lineRule="auto"/>
              <w:ind w:firstLine="0" w:firstLineChars="0"/>
              <w:jc w:val="center"/>
              <w:rPr>
                <w:sz w:val="18"/>
                <w:szCs w:val="18"/>
                <w:lang w:eastAsia="ja-JP"/>
              </w:rPr>
            </w:pPr>
            <w:r>
              <w:rPr>
                <w:sz w:val="18"/>
                <w:szCs w:val="18"/>
              </w:rPr>
              <w:t>红色</w:t>
            </w:r>
          </w:p>
        </w:tc>
        <w:tc>
          <w:tcPr>
            <w:tcW w:w="614" w:type="dxa"/>
            <w:tcBorders>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5"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120</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60</w:t>
            </w:r>
          </w:p>
        </w:tc>
        <w:tc>
          <w:tcPr>
            <w:tcW w:w="567" w:type="dxa"/>
            <w:tcBorders>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30</w:t>
            </w:r>
          </w:p>
        </w:tc>
        <w:tc>
          <w:tcPr>
            <w:tcW w:w="567"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10</w:t>
            </w:r>
          </w:p>
        </w:tc>
        <w:tc>
          <w:tcPr>
            <w:tcW w:w="567"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c>
          <w:tcPr>
            <w:tcW w:w="614" w:type="dxa"/>
            <w:tcBorders>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bCs/>
                <w:iCs/>
                <w:sz w:val="18"/>
                <w:szCs w:val="18"/>
              </w:rPr>
            </w:pPr>
            <w:r>
              <w:rPr>
                <w:rFonts w:hint="eastAsia"/>
                <w:bCs/>
                <w:iCs/>
                <w:sz w:val="18"/>
                <w:szCs w:val="18"/>
              </w:rPr>
              <w:t>—</w:t>
            </w:r>
          </w:p>
        </w:tc>
      </w:tr>
    </w:tbl>
    <w:p>
      <w:pPr>
        <w:autoSpaceDE w:val="0"/>
        <w:autoSpaceDN w:val="0"/>
        <w:adjustRightInd w:val="0"/>
        <w:spacing w:line="400" w:lineRule="exact"/>
        <w:ind w:firstLine="480"/>
        <w:jc w:val="left"/>
        <w:outlineLvl w:val="0"/>
        <w:rPr>
          <w:rFonts w:hint="eastAsia" w:eastAsia="黑体"/>
          <w:bCs/>
          <w:color w:val="000000"/>
          <w:kern w:val="0"/>
          <w:sz w:val="24"/>
        </w:rPr>
      </w:pPr>
      <w:bookmarkStart w:id="23" w:name="_Toc64898479"/>
    </w:p>
    <w:p>
      <w:pPr>
        <w:autoSpaceDE w:val="0"/>
        <w:autoSpaceDN w:val="0"/>
        <w:adjustRightInd w:val="0"/>
        <w:spacing w:line="400" w:lineRule="exact"/>
        <w:ind w:firstLine="480"/>
        <w:jc w:val="left"/>
        <w:outlineLvl w:val="0"/>
        <w:rPr>
          <w:rFonts w:eastAsia="黑体"/>
          <w:bCs/>
          <w:color w:val="000000"/>
          <w:kern w:val="0"/>
          <w:sz w:val="24"/>
        </w:rPr>
      </w:pPr>
      <w:bookmarkStart w:id="34" w:name="_GoBack"/>
      <w:bookmarkEnd w:id="34"/>
      <w:r>
        <w:rPr>
          <w:rFonts w:hint="eastAsia" w:eastAsia="黑体"/>
          <w:bCs/>
          <w:color w:val="000000"/>
          <w:kern w:val="0"/>
          <w:sz w:val="24"/>
        </w:rPr>
        <w:t>五、重大分歧意见的处理过程、处理意见及其依据</w:t>
      </w:r>
      <w:bookmarkEnd w:id="23"/>
    </w:p>
    <w:p>
      <w:pPr>
        <w:adjustRightInd w:val="0"/>
        <w:snapToGrid w:val="0"/>
        <w:spacing w:line="400" w:lineRule="exact"/>
        <w:ind w:firstLine="420"/>
        <w:rPr>
          <w:szCs w:val="21"/>
        </w:rPr>
      </w:pPr>
      <w:r>
        <w:rPr>
          <w:rFonts w:hint="eastAsia"/>
          <w:szCs w:val="21"/>
        </w:rPr>
        <w:t>无</w:t>
      </w:r>
      <w:r>
        <w:rPr>
          <w:szCs w:val="21"/>
        </w:rPr>
        <w:t>。</w:t>
      </w:r>
    </w:p>
    <w:p>
      <w:pPr>
        <w:autoSpaceDE w:val="0"/>
        <w:autoSpaceDN w:val="0"/>
        <w:adjustRightInd w:val="0"/>
        <w:spacing w:line="400" w:lineRule="exact"/>
        <w:ind w:firstLine="480"/>
        <w:jc w:val="left"/>
        <w:outlineLvl w:val="0"/>
        <w:rPr>
          <w:rFonts w:eastAsia="黑体"/>
          <w:bCs/>
          <w:color w:val="000000"/>
          <w:kern w:val="0"/>
          <w:sz w:val="24"/>
        </w:rPr>
      </w:pPr>
      <w:bookmarkStart w:id="24" w:name="_Toc64898480"/>
      <w:r>
        <w:rPr>
          <w:rFonts w:hint="eastAsia" w:eastAsia="黑体"/>
          <w:bCs/>
          <w:color w:val="000000"/>
          <w:kern w:val="0"/>
          <w:sz w:val="24"/>
        </w:rPr>
        <w:t>六、对强制性国家标准自发布日期至实施日期之间的过渡期的建议及理由</w:t>
      </w:r>
      <w:bookmarkEnd w:id="24"/>
    </w:p>
    <w:p>
      <w:pPr>
        <w:spacing w:line="400" w:lineRule="exact"/>
        <w:ind w:firstLine="420"/>
      </w:pPr>
      <w:r>
        <w:rPr>
          <w:rFonts w:hint="eastAsia"/>
        </w:rPr>
        <w:t>本标准与替代标准存在一定差异，建议设置一定过渡期要求，具体</w:t>
      </w:r>
      <w:r>
        <w:t>如下：</w:t>
      </w:r>
    </w:p>
    <w:p>
      <w:pPr>
        <w:adjustRightInd w:val="0"/>
        <w:snapToGrid w:val="0"/>
        <w:spacing w:line="400" w:lineRule="exact"/>
        <w:ind w:firstLine="420"/>
        <w:rPr>
          <w:szCs w:val="21"/>
        </w:rPr>
      </w:pPr>
      <w:r>
        <w:rPr>
          <w:rFonts w:hint="eastAsia"/>
          <w:szCs w:val="21"/>
        </w:rPr>
        <w:t>1、本文件作为</w:t>
      </w:r>
      <w:r>
        <w:rPr>
          <w:szCs w:val="21"/>
        </w:rPr>
        <w:t>产品标准，</w:t>
      </w:r>
      <w:r>
        <w:rPr>
          <w:rFonts w:hint="eastAsia"/>
          <w:szCs w:val="21"/>
        </w:rPr>
        <w:t>相关</w:t>
      </w:r>
      <w:r>
        <w:rPr>
          <w:szCs w:val="21"/>
        </w:rPr>
        <w:t>产品生产企业在</w:t>
      </w:r>
      <w:r>
        <w:rPr>
          <w:rFonts w:hint="eastAsia"/>
          <w:szCs w:val="21"/>
        </w:rPr>
        <w:t>获取文件</w:t>
      </w:r>
      <w:r>
        <w:rPr>
          <w:szCs w:val="21"/>
        </w:rPr>
        <w:t>后，需要经过</w:t>
      </w:r>
      <w:r>
        <w:rPr>
          <w:rFonts w:hint="eastAsia"/>
          <w:szCs w:val="21"/>
        </w:rPr>
        <w:t>理解标准</w:t>
      </w:r>
      <w:r>
        <w:rPr>
          <w:szCs w:val="21"/>
        </w:rPr>
        <w:t>要求、</w:t>
      </w:r>
      <w:r>
        <w:rPr>
          <w:rFonts w:hint="eastAsia"/>
          <w:szCs w:val="21"/>
        </w:rPr>
        <w:t>研发生产</w:t>
      </w:r>
      <w:r>
        <w:rPr>
          <w:szCs w:val="21"/>
        </w:rPr>
        <w:t>、验证</w:t>
      </w:r>
      <w:r>
        <w:rPr>
          <w:rFonts w:hint="eastAsia"/>
          <w:szCs w:val="21"/>
        </w:rPr>
        <w:t>测试</w:t>
      </w:r>
      <w:r>
        <w:rPr>
          <w:szCs w:val="21"/>
        </w:rPr>
        <w:t>等工作过程，因此建议文件发布</w:t>
      </w:r>
      <w:r>
        <w:rPr>
          <w:rFonts w:hint="eastAsia"/>
          <w:szCs w:val="21"/>
        </w:rPr>
        <w:t>日期与实施日期设置6个月的</w:t>
      </w:r>
      <w:r>
        <w:rPr>
          <w:szCs w:val="21"/>
        </w:rPr>
        <w:t>时间间隔</w:t>
      </w:r>
      <w:r>
        <w:rPr>
          <w:rFonts w:hint="eastAsia"/>
          <w:szCs w:val="21"/>
        </w:rPr>
        <w:t>。</w:t>
      </w:r>
    </w:p>
    <w:p>
      <w:pPr>
        <w:adjustRightInd w:val="0"/>
        <w:snapToGrid w:val="0"/>
        <w:spacing w:line="400" w:lineRule="exact"/>
        <w:ind w:firstLine="420"/>
        <w:rPr>
          <w:szCs w:val="21"/>
        </w:rPr>
      </w:pPr>
      <w:r>
        <w:rPr>
          <w:szCs w:val="21"/>
        </w:rPr>
        <w:t>2</w:t>
      </w:r>
      <w:r>
        <w:rPr>
          <w:rFonts w:hint="eastAsia"/>
          <w:szCs w:val="21"/>
        </w:rPr>
        <w:t>、本文件在发布日期</w:t>
      </w:r>
      <w:r>
        <w:rPr>
          <w:szCs w:val="21"/>
        </w:rPr>
        <w:t>与实施</w:t>
      </w:r>
      <w:r>
        <w:rPr>
          <w:rFonts w:hint="eastAsia"/>
          <w:szCs w:val="21"/>
        </w:rPr>
        <w:t>日期</w:t>
      </w:r>
      <w:r>
        <w:rPr>
          <w:szCs w:val="21"/>
        </w:rPr>
        <w:t>间</w:t>
      </w:r>
      <w:r>
        <w:rPr>
          <w:rFonts w:hint="eastAsia"/>
          <w:szCs w:val="21"/>
        </w:rPr>
        <w:t>设置6个</w:t>
      </w:r>
      <w:r>
        <w:rPr>
          <w:szCs w:val="21"/>
        </w:rPr>
        <w:t>月的时间间隔后，</w:t>
      </w:r>
      <w:r>
        <w:rPr>
          <w:rFonts w:hint="eastAsia"/>
          <w:szCs w:val="21"/>
        </w:rPr>
        <w:t>因此建议自</w:t>
      </w:r>
      <w:r>
        <w:rPr>
          <w:szCs w:val="21"/>
        </w:rPr>
        <w:t>标准实施</w:t>
      </w:r>
      <w:r>
        <w:rPr>
          <w:rFonts w:hint="eastAsia"/>
          <w:szCs w:val="21"/>
        </w:rPr>
        <w:t>之日</w:t>
      </w:r>
      <w:r>
        <w:rPr>
          <w:szCs w:val="21"/>
        </w:rPr>
        <w:t>起</w:t>
      </w:r>
      <w:r>
        <w:rPr>
          <w:rFonts w:hint="eastAsia"/>
          <w:szCs w:val="21"/>
        </w:rPr>
        <w:t>，</w:t>
      </w:r>
      <w:r>
        <w:rPr>
          <w:szCs w:val="21"/>
        </w:rPr>
        <w:t>新申请型式检验的反射装置产品应符合本文件的规定。</w:t>
      </w:r>
    </w:p>
    <w:p>
      <w:pPr>
        <w:adjustRightInd w:val="0"/>
        <w:snapToGrid w:val="0"/>
        <w:spacing w:line="400" w:lineRule="exact"/>
        <w:ind w:firstLine="420"/>
        <w:rPr>
          <w:szCs w:val="21"/>
        </w:rPr>
      </w:pPr>
      <w:bookmarkStart w:id="25" w:name="_Toc74895361"/>
      <w:r>
        <w:rPr>
          <w:szCs w:val="21"/>
        </w:rPr>
        <w:t>3</w:t>
      </w:r>
      <w:r>
        <w:rPr>
          <w:rFonts w:hint="eastAsia"/>
          <w:szCs w:val="21"/>
        </w:rPr>
        <w:t>、本文件</w:t>
      </w:r>
      <w:r>
        <w:rPr>
          <w:szCs w:val="21"/>
        </w:rPr>
        <w:t>发布实施之前</w:t>
      </w:r>
      <w:r>
        <w:rPr>
          <w:rFonts w:hint="eastAsia"/>
          <w:szCs w:val="21"/>
        </w:rPr>
        <w:t>，大量通过</w:t>
      </w:r>
      <w:r>
        <w:rPr>
          <w:szCs w:val="21"/>
        </w:rPr>
        <w:t>型式检验的车型</w:t>
      </w:r>
      <w:r>
        <w:rPr>
          <w:rFonts w:hint="eastAsia"/>
          <w:szCs w:val="21"/>
        </w:rPr>
        <w:t>装</w:t>
      </w:r>
      <w:r>
        <w:rPr>
          <w:szCs w:val="21"/>
        </w:rPr>
        <w:t>用按原标准</w:t>
      </w:r>
      <w:r>
        <w:rPr>
          <w:rFonts w:hint="eastAsia"/>
          <w:szCs w:val="21"/>
        </w:rPr>
        <w:t>获型式</w:t>
      </w:r>
      <w:r>
        <w:rPr>
          <w:szCs w:val="21"/>
        </w:rPr>
        <w:t>检验</w:t>
      </w:r>
      <w:r>
        <w:rPr>
          <w:rFonts w:hint="eastAsia"/>
          <w:szCs w:val="21"/>
        </w:rPr>
        <w:t>的</w:t>
      </w:r>
      <w:r>
        <w:rPr>
          <w:szCs w:val="21"/>
        </w:rPr>
        <w:t>反射装置</w:t>
      </w:r>
      <w:r>
        <w:rPr>
          <w:rFonts w:hint="eastAsia"/>
          <w:szCs w:val="21"/>
        </w:rPr>
        <w:t>，</w:t>
      </w:r>
      <w:r>
        <w:rPr>
          <w:szCs w:val="21"/>
        </w:rPr>
        <w:t>并已经</w:t>
      </w:r>
      <w:r>
        <w:rPr>
          <w:rFonts w:hint="eastAsia"/>
          <w:szCs w:val="21"/>
        </w:rPr>
        <w:t>完成</w:t>
      </w:r>
      <w:r>
        <w:rPr>
          <w:szCs w:val="21"/>
        </w:rPr>
        <w:t>销售或</w:t>
      </w:r>
      <w:r>
        <w:rPr>
          <w:rFonts w:hint="eastAsia"/>
          <w:szCs w:val="21"/>
        </w:rPr>
        <w:t>生产。</w:t>
      </w:r>
      <w:r>
        <w:rPr>
          <w:szCs w:val="21"/>
        </w:rPr>
        <w:t>为满足市场更换和</w:t>
      </w:r>
      <w:r>
        <w:rPr>
          <w:rFonts w:hint="eastAsia"/>
          <w:szCs w:val="21"/>
        </w:rPr>
        <w:t>已</w:t>
      </w:r>
      <w:r>
        <w:rPr>
          <w:szCs w:val="21"/>
        </w:rPr>
        <w:t>生产车型的销售需求，</w:t>
      </w:r>
      <w:r>
        <w:rPr>
          <w:rFonts w:hint="eastAsia"/>
          <w:szCs w:val="21"/>
        </w:rPr>
        <w:t>建议对于已获型式检验的反射装置及装用该反射装置的车型，给予直至停产的过渡期。</w:t>
      </w:r>
      <w:bookmarkEnd w:id="25"/>
    </w:p>
    <w:p>
      <w:pPr>
        <w:adjustRightInd w:val="0"/>
        <w:snapToGrid w:val="0"/>
        <w:spacing w:line="400" w:lineRule="exact"/>
        <w:ind w:firstLine="420"/>
        <w:rPr>
          <w:szCs w:val="21"/>
        </w:rPr>
      </w:pPr>
      <w:bookmarkStart w:id="26" w:name="_Toc74895362"/>
      <w:r>
        <w:rPr>
          <w:szCs w:val="21"/>
        </w:rPr>
        <w:t>4</w:t>
      </w:r>
      <w:r>
        <w:rPr>
          <w:rFonts w:hint="eastAsia"/>
          <w:szCs w:val="21"/>
        </w:rPr>
        <w:t>、本</w:t>
      </w:r>
      <w:r>
        <w:rPr>
          <w:szCs w:val="21"/>
        </w:rPr>
        <w:t>文件发布后，</w:t>
      </w:r>
      <w:r>
        <w:rPr>
          <w:rFonts w:hint="eastAsia"/>
          <w:szCs w:val="21"/>
        </w:rPr>
        <w:t>给予反射</w:t>
      </w:r>
      <w:r>
        <w:rPr>
          <w:szCs w:val="21"/>
        </w:rPr>
        <w:t>装置</w:t>
      </w:r>
      <w:r>
        <w:rPr>
          <w:rFonts w:hint="eastAsia"/>
          <w:szCs w:val="21"/>
        </w:rPr>
        <w:t>新</w:t>
      </w:r>
      <w:r>
        <w:rPr>
          <w:szCs w:val="21"/>
        </w:rPr>
        <w:t>产品</w:t>
      </w:r>
      <w:r>
        <w:rPr>
          <w:rFonts w:hint="eastAsia"/>
          <w:szCs w:val="21"/>
        </w:rPr>
        <w:t>6个</w:t>
      </w:r>
      <w:r>
        <w:rPr>
          <w:szCs w:val="21"/>
        </w:rPr>
        <w:t>月的</w:t>
      </w:r>
      <w:r>
        <w:rPr>
          <w:rFonts w:hint="eastAsia"/>
          <w:szCs w:val="21"/>
        </w:rPr>
        <w:t>理解</w:t>
      </w:r>
      <w:r>
        <w:rPr>
          <w:szCs w:val="21"/>
        </w:rPr>
        <w:t>、研发、生产、</w:t>
      </w:r>
      <w:r>
        <w:rPr>
          <w:rFonts w:hint="eastAsia"/>
          <w:szCs w:val="21"/>
        </w:rPr>
        <w:t>验证</w:t>
      </w:r>
      <w:r>
        <w:rPr>
          <w:szCs w:val="21"/>
        </w:rPr>
        <w:t>测试的过渡</w:t>
      </w:r>
      <w:r>
        <w:rPr>
          <w:rFonts w:hint="eastAsia"/>
          <w:szCs w:val="21"/>
        </w:rPr>
        <w:t>期</w:t>
      </w:r>
      <w:r>
        <w:rPr>
          <w:szCs w:val="21"/>
        </w:rPr>
        <w:t>，</w:t>
      </w:r>
      <w:r>
        <w:rPr>
          <w:rFonts w:hint="eastAsia"/>
          <w:szCs w:val="21"/>
        </w:rPr>
        <w:t>而新申请型式检验的车型应用</w:t>
      </w:r>
      <w:r>
        <w:rPr>
          <w:szCs w:val="21"/>
        </w:rPr>
        <w:t>按新要求获型式检验的产品也需要时间周期</w:t>
      </w:r>
      <w:r>
        <w:rPr>
          <w:rFonts w:hint="eastAsia"/>
          <w:szCs w:val="21"/>
        </w:rPr>
        <w:t>，考虑</w:t>
      </w:r>
      <w:r>
        <w:rPr>
          <w:szCs w:val="21"/>
        </w:rPr>
        <w:t>本文件同时也规定了</w:t>
      </w:r>
      <w:r>
        <w:rPr>
          <w:rFonts w:hint="eastAsia"/>
          <w:szCs w:val="21"/>
        </w:rPr>
        <w:t>车辆</w:t>
      </w:r>
      <w:r>
        <w:rPr>
          <w:szCs w:val="21"/>
        </w:rPr>
        <w:t>的安装要求，</w:t>
      </w:r>
      <w:r>
        <w:rPr>
          <w:rFonts w:hint="eastAsia"/>
          <w:szCs w:val="21"/>
        </w:rPr>
        <w:t>因此</w:t>
      </w:r>
      <w:r>
        <w:rPr>
          <w:szCs w:val="21"/>
        </w:rPr>
        <w:t>建议</w:t>
      </w:r>
      <w:bookmarkEnd w:id="26"/>
      <w:r>
        <w:rPr>
          <w:szCs w:val="21"/>
        </w:rPr>
        <w:t>新申请型式检验的车型自实施</w:t>
      </w:r>
      <w:r>
        <w:rPr>
          <w:rFonts w:hint="eastAsia"/>
          <w:szCs w:val="21"/>
        </w:rPr>
        <w:t>之日起</w:t>
      </w:r>
      <w:r>
        <w:rPr>
          <w:szCs w:val="21"/>
        </w:rPr>
        <w:t>第</w:t>
      </w:r>
      <w:r>
        <w:rPr>
          <w:rFonts w:hint="eastAsia"/>
          <w:szCs w:val="21"/>
        </w:rPr>
        <w:t>13个月符合</w:t>
      </w:r>
      <w:r>
        <w:rPr>
          <w:szCs w:val="21"/>
        </w:rPr>
        <w:t>本文件要求。</w:t>
      </w:r>
    </w:p>
    <w:p>
      <w:pPr>
        <w:adjustRightInd w:val="0"/>
        <w:snapToGrid w:val="0"/>
        <w:spacing w:line="400" w:lineRule="exact"/>
        <w:ind w:firstLine="420"/>
        <w:rPr>
          <w:szCs w:val="21"/>
        </w:rPr>
      </w:pPr>
      <w:r>
        <w:rPr>
          <w:rFonts w:hint="eastAsia"/>
          <w:szCs w:val="21"/>
        </w:rPr>
        <w:t>最后拟定实施日期及过渡期建议如下：</w:t>
      </w:r>
    </w:p>
    <w:p>
      <w:pPr>
        <w:adjustRightInd w:val="0"/>
        <w:snapToGrid w:val="0"/>
        <w:spacing w:line="400" w:lineRule="exact"/>
        <w:ind w:firstLine="420"/>
        <w:rPr>
          <w:rFonts w:hint="eastAsia"/>
          <w:szCs w:val="21"/>
        </w:rPr>
      </w:pPr>
      <w:bookmarkStart w:id="27" w:name="_Toc74895360"/>
      <w:r>
        <w:rPr>
          <w:rFonts w:hint="eastAsia"/>
          <w:szCs w:val="21"/>
        </w:rPr>
        <w:t>（1）对</w:t>
      </w:r>
      <w:r>
        <w:rPr>
          <w:szCs w:val="21"/>
        </w:rPr>
        <w:t>于</w:t>
      </w:r>
      <w:r>
        <w:rPr>
          <w:rFonts w:hint="eastAsia"/>
          <w:szCs w:val="21"/>
        </w:rPr>
        <w:t>新申请型式检验的反射装置，自本文件实施之日起开始</w:t>
      </w:r>
      <w:r>
        <w:rPr>
          <w:szCs w:val="21"/>
        </w:rPr>
        <w:t>执行</w:t>
      </w:r>
      <w:r>
        <w:rPr>
          <w:rFonts w:hint="eastAsia"/>
          <w:szCs w:val="21"/>
        </w:rPr>
        <w:t>。</w:t>
      </w:r>
      <w:bookmarkEnd w:id="27"/>
    </w:p>
    <w:p>
      <w:pPr>
        <w:adjustRightInd w:val="0"/>
        <w:snapToGrid w:val="0"/>
        <w:spacing w:line="400" w:lineRule="exact"/>
        <w:ind w:firstLine="420"/>
        <w:rPr>
          <w:szCs w:val="21"/>
        </w:rPr>
      </w:pPr>
      <w:r>
        <w:rPr>
          <w:rFonts w:hint="eastAsia"/>
          <w:szCs w:val="21"/>
        </w:rPr>
        <w:t>（2）对于新申请型式批准的车型，</w:t>
      </w:r>
      <w:r>
        <w:rPr>
          <w:szCs w:val="21"/>
        </w:rPr>
        <w:t>自</w:t>
      </w:r>
      <w:r>
        <w:rPr>
          <w:rFonts w:hint="eastAsia"/>
          <w:szCs w:val="21"/>
        </w:rPr>
        <w:t>本文件</w:t>
      </w:r>
      <w:r>
        <w:rPr>
          <w:szCs w:val="21"/>
        </w:rPr>
        <w:t>实施</w:t>
      </w:r>
      <w:r>
        <w:rPr>
          <w:rFonts w:hint="eastAsia"/>
          <w:szCs w:val="21"/>
        </w:rPr>
        <w:t>之日起</w:t>
      </w:r>
      <w:r>
        <w:rPr>
          <w:szCs w:val="21"/>
        </w:rPr>
        <w:t>第</w:t>
      </w:r>
      <w:r>
        <w:rPr>
          <w:rFonts w:hint="eastAsia"/>
          <w:szCs w:val="21"/>
        </w:rPr>
        <w:t>13个月开始执行。</w:t>
      </w:r>
    </w:p>
    <w:p>
      <w:pPr>
        <w:adjustRightInd w:val="0"/>
        <w:snapToGrid w:val="0"/>
        <w:spacing w:line="400" w:lineRule="exact"/>
        <w:ind w:firstLine="420"/>
        <w:rPr>
          <w:rFonts w:hint="eastAsia"/>
          <w:szCs w:val="21"/>
        </w:rPr>
      </w:pPr>
      <w:r>
        <w:rPr>
          <w:rFonts w:hint="eastAsia"/>
          <w:szCs w:val="21"/>
        </w:rPr>
        <w:t>（3）对于已获型式检验的反射装置及装用该反射装置的车型，给予直至停产的过渡期。</w:t>
      </w:r>
    </w:p>
    <w:p>
      <w:pPr>
        <w:autoSpaceDE w:val="0"/>
        <w:autoSpaceDN w:val="0"/>
        <w:adjustRightInd w:val="0"/>
        <w:spacing w:line="400" w:lineRule="exact"/>
        <w:ind w:firstLine="480"/>
        <w:jc w:val="left"/>
        <w:outlineLvl w:val="0"/>
        <w:rPr>
          <w:rFonts w:eastAsia="黑体"/>
          <w:bCs/>
          <w:color w:val="000000"/>
          <w:kern w:val="0"/>
          <w:sz w:val="24"/>
        </w:rPr>
      </w:pPr>
      <w:bookmarkStart w:id="28" w:name="_Toc64898481"/>
      <w:r>
        <w:rPr>
          <w:rFonts w:hint="eastAsia" w:eastAsia="黑体"/>
          <w:bCs/>
          <w:color w:val="000000"/>
          <w:kern w:val="0"/>
          <w:sz w:val="24"/>
        </w:rPr>
        <w:t>七、与实施强制性国家标准有关的政策措施</w:t>
      </w:r>
      <w:bookmarkEnd w:id="28"/>
    </w:p>
    <w:p>
      <w:pPr>
        <w:spacing w:line="400" w:lineRule="exact"/>
        <w:ind w:firstLine="420" w:firstLineChars="0"/>
        <w:rPr>
          <w:szCs w:val="21"/>
        </w:rPr>
      </w:pPr>
      <w:bookmarkStart w:id="29" w:name="_Toc64898482"/>
      <w:r>
        <w:rPr>
          <w:rFonts w:hint="eastAsia"/>
          <w:szCs w:val="21"/>
        </w:rPr>
        <w:t>本标准的实施监督管理部门为中华人民共和国工业和信息化部。</w:t>
      </w:r>
    </w:p>
    <w:p>
      <w:pPr>
        <w:spacing w:line="400" w:lineRule="exact"/>
        <w:ind w:firstLine="420"/>
        <w:rPr>
          <w:szCs w:val="21"/>
        </w:rPr>
      </w:pPr>
      <w:r>
        <w:rPr>
          <w:rFonts w:hint="eastAsia"/>
          <w:szCs w:val="21"/>
        </w:rPr>
        <w:t>工业和信息化部发布了《道路机动车辆生产企业及产品准入管理办法》（工业和信息化部令第50号），通过《道路机动车辆生产企业及产品公告》对道路机动车辆生产企业及产品进行准入管理。本强制性国家标准将纳入该管理体系，由国家工业和信息化部依据本标准对相关产品进行准入管理，并依法对违反强制性国家标准的行为进行处理。</w:t>
      </w:r>
    </w:p>
    <w:p>
      <w:pPr>
        <w:spacing w:line="400" w:lineRule="exact"/>
        <w:ind w:firstLine="420"/>
        <w:rPr>
          <w:szCs w:val="21"/>
        </w:rPr>
      </w:pPr>
      <w:r>
        <w:rPr>
          <w:rFonts w:hint="eastAsia"/>
          <w:szCs w:val="21"/>
        </w:rPr>
        <w:t>《中华人民共和国标准化法》第二十五条规定“不符合强制性标准的产品、服务，不得生产、销售、进口或者提供”；第三十六条规定“生产、销售、进口产品或者提供服务不符合强制性标准，或者企业生产的产品、提供的服务不符合其公开标准的技术要求的，依法承担民事责任”。</w:t>
      </w:r>
    </w:p>
    <w:p>
      <w:pPr>
        <w:spacing w:line="400" w:lineRule="exact"/>
        <w:ind w:firstLine="420"/>
        <w:rPr>
          <w:szCs w:val="21"/>
        </w:rPr>
      </w:pPr>
      <w:r>
        <w:rPr>
          <w:rFonts w:hint="eastAsia"/>
          <w:szCs w:val="21"/>
        </w:rPr>
        <w:t>《中华人民共和国产品质量法》第十三条明确规定，“可能危及人体健康和人身、财产安全的工业产品，必须符合保障人体健康和人身、财产安全的国家标准、行业标准”。</w:t>
      </w:r>
    </w:p>
    <w:p>
      <w:pPr>
        <w:spacing w:line="400" w:lineRule="exact"/>
        <w:ind w:firstLine="420"/>
        <w:rPr>
          <w:szCs w:val="21"/>
        </w:rPr>
      </w:pPr>
      <w:r>
        <w:rPr>
          <w:rFonts w:hint="eastAsia"/>
          <w:szCs w:val="21"/>
        </w:rPr>
        <w:t>工信部发布的《车辆生产企业及产品生产一致性监督管理办法》中也明确提出，“工业和信息化部通过生产一致性监督检查，确认车辆生产企业生产和销售的产品是否符合一致性要求，是否符合国家政策和管理规定以及强制性标准、法规要求”。</w:t>
      </w:r>
    </w:p>
    <w:p>
      <w:pPr>
        <w:autoSpaceDE w:val="0"/>
        <w:autoSpaceDN w:val="0"/>
        <w:adjustRightInd w:val="0"/>
        <w:spacing w:line="400" w:lineRule="exact"/>
        <w:ind w:firstLine="480"/>
        <w:jc w:val="left"/>
        <w:outlineLvl w:val="0"/>
        <w:rPr>
          <w:rFonts w:eastAsia="黑体"/>
          <w:bCs/>
          <w:color w:val="000000"/>
          <w:kern w:val="0"/>
          <w:sz w:val="24"/>
        </w:rPr>
      </w:pPr>
      <w:r>
        <w:rPr>
          <w:rFonts w:hint="eastAsia" w:eastAsia="黑体"/>
          <w:bCs/>
          <w:color w:val="000000"/>
          <w:kern w:val="0"/>
          <w:sz w:val="24"/>
        </w:rPr>
        <w:t>八、是否需要对外通报的建议及理由</w:t>
      </w:r>
      <w:bookmarkEnd w:id="29"/>
    </w:p>
    <w:p>
      <w:pPr>
        <w:spacing w:line="400" w:lineRule="exact"/>
        <w:ind w:firstLine="420" w:firstLineChars="0"/>
        <w:rPr>
          <w:szCs w:val="21"/>
        </w:rPr>
      </w:pPr>
      <w:r>
        <w:rPr>
          <w:rFonts w:hint="eastAsia"/>
          <w:szCs w:val="21"/>
        </w:rPr>
        <w:t>本文件规定了机动车回复</w:t>
      </w:r>
      <w:r>
        <w:rPr>
          <w:szCs w:val="21"/>
        </w:rPr>
        <w:t>反射装置</w:t>
      </w:r>
      <w:r>
        <w:rPr>
          <w:rFonts w:hint="eastAsia"/>
          <w:szCs w:val="21"/>
        </w:rPr>
        <w:t>的术语和定义、要求、试验方法和检验规则等。适用于机动车</w:t>
      </w:r>
      <w:r>
        <w:rPr>
          <w:szCs w:val="21"/>
        </w:rPr>
        <w:t>上安装和配备</w:t>
      </w:r>
      <w:r>
        <w:rPr>
          <w:rFonts w:hint="eastAsia"/>
          <w:szCs w:val="21"/>
        </w:rPr>
        <w:t>的反射器、反光</w:t>
      </w:r>
      <w:r>
        <w:rPr>
          <w:szCs w:val="21"/>
        </w:rPr>
        <w:t>标识</w:t>
      </w:r>
      <w:r>
        <w:rPr>
          <w:rFonts w:hint="eastAsia"/>
          <w:szCs w:val="21"/>
        </w:rPr>
        <w:t>、标志板、三角牌等回复</w:t>
      </w:r>
      <w:r>
        <w:rPr>
          <w:szCs w:val="21"/>
        </w:rPr>
        <w:t>反射装置</w:t>
      </w:r>
      <w:r>
        <w:rPr>
          <w:rFonts w:hint="eastAsia"/>
          <w:szCs w:val="21"/>
        </w:rPr>
        <w:t>。</w:t>
      </w:r>
    </w:p>
    <w:p>
      <w:pPr>
        <w:spacing w:line="400" w:lineRule="exact"/>
        <w:ind w:firstLine="420" w:firstLineChars="0"/>
        <w:rPr>
          <w:szCs w:val="21"/>
        </w:rPr>
      </w:pPr>
      <w:r>
        <w:rPr>
          <w:rFonts w:hint="eastAsia"/>
          <w:szCs w:val="21"/>
        </w:rPr>
        <w:t>本标准部分技术条款与国际标准或者与有关国际标准技术要求不完全一致，且本标准涉及人身健康和生命财产安全，依据《强制性国家标准管理办法》与世界贸易组织的要求，需要进行WTO/TBT通报。</w:t>
      </w:r>
    </w:p>
    <w:p>
      <w:pPr>
        <w:autoSpaceDE w:val="0"/>
        <w:autoSpaceDN w:val="0"/>
        <w:adjustRightInd w:val="0"/>
        <w:spacing w:line="400" w:lineRule="exact"/>
        <w:ind w:firstLine="480"/>
        <w:jc w:val="left"/>
        <w:outlineLvl w:val="0"/>
        <w:rPr>
          <w:rFonts w:eastAsia="黑体"/>
          <w:bCs/>
          <w:color w:val="000000"/>
          <w:kern w:val="0"/>
          <w:sz w:val="24"/>
        </w:rPr>
      </w:pPr>
      <w:bookmarkStart w:id="30" w:name="_Toc64898483"/>
      <w:r>
        <w:rPr>
          <w:rFonts w:hint="eastAsia" w:eastAsia="黑体"/>
          <w:bCs/>
          <w:color w:val="000000"/>
          <w:kern w:val="0"/>
          <w:sz w:val="24"/>
        </w:rPr>
        <w:t>九、废止现行有关标准的建议</w:t>
      </w:r>
      <w:bookmarkEnd w:id="30"/>
    </w:p>
    <w:p>
      <w:pPr>
        <w:adjustRightInd w:val="0"/>
        <w:snapToGrid w:val="0"/>
        <w:spacing w:line="400" w:lineRule="exact"/>
        <w:ind w:firstLine="420"/>
        <w:rPr>
          <w:szCs w:val="21"/>
        </w:rPr>
      </w:pPr>
      <w:r>
        <w:rPr>
          <w:szCs w:val="21"/>
        </w:rPr>
        <w:t>该强制性标准实施后，建议代替</w:t>
      </w:r>
      <w:r>
        <w:rPr>
          <w:rFonts w:hint="eastAsia"/>
          <w:szCs w:val="21"/>
        </w:rPr>
        <w:t>并</w:t>
      </w:r>
      <w:r>
        <w:rPr>
          <w:szCs w:val="21"/>
        </w:rPr>
        <w:t>同步废止</w:t>
      </w:r>
      <w:r>
        <w:rPr>
          <w:rFonts w:hint="eastAsia"/>
          <w:szCs w:val="21"/>
        </w:rPr>
        <w:t>原来</w:t>
      </w:r>
      <w:r>
        <w:rPr>
          <w:szCs w:val="21"/>
        </w:rPr>
        <w:t>的GB 11564-2008《机动车回复反射器》、GB 19151-2003《机动车用三角警告牌牌》、GB 23254 -2009《货车及挂车 车身反光标识》和GB 25990-2010《车辆尾部标志板》。</w:t>
      </w:r>
    </w:p>
    <w:p>
      <w:pPr>
        <w:autoSpaceDE w:val="0"/>
        <w:autoSpaceDN w:val="0"/>
        <w:adjustRightInd w:val="0"/>
        <w:spacing w:line="400" w:lineRule="exact"/>
        <w:ind w:firstLine="480"/>
        <w:jc w:val="left"/>
        <w:outlineLvl w:val="0"/>
        <w:rPr>
          <w:rFonts w:eastAsia="黑体"/>
          <w:bCs/>
          <w:color w:val="000000"/>
          <w:kern w:val="0"/>
          <w:sz w:val="24"/>
        </w:rPr>
      </w:pPr>
      <w:bookmarkStart w:id="31" w:name="_Toc64898484"/>
      <w:r>
        <w:rPr>
          <w:rFonts w:hint="eastAsia" w:eastAsia="黑体"/>
          <w:bCs/>
          <w:color w:val="000000"/>
          <w:kern w:val="0"/>
          <w:sz w:val="24"/>
        </w:rPr>
        <w:t>十、涉及专利的有关说明</w:t>
      </w:r>
      <w:bookmarkEnd w:id="31"/>
    </w:p>
    <w:p>
      <w:pPr>
        <w:adjustRightInd w:val="0"/>
        <w:snapToGrid w:val="0"/>
        <w:spacing w:line="400" w:lineRule="exact"/>
        <w:ind w:firstLine="420"/>
        <w:rPr>
          <w:szCs w:val="21"/>
        </w:rPr>
      </w:pPr>
      <w:r>
        <w:rPr>
          <w:rFonts w:hint="eastAsia"/>
          <w:szCs w:val="21"/>
        </w:rPr>
        <w:t>本文件目前未涉及专利的情况，将在征求意见稿封面位置注明“在提交反馈意见时，请将您知道的相关专利连同支持性文件一并附上”。</w:t>
      </w:r>
    </w:p>
    <w:p>
      <w:pPr>
        <w:autoSpaceDE w:val="0"/>
        <w:autoSpaceDN w:val="0"/>
        <w:adjustRightInd w:val="0"/>
        <w:spacing w:line="400" w:lineRule="exact"/>
        <w:ind w:firstLine="480"/>
        <w:jc w:val="left"/>
        <w:outlineLvl w:val="0"/>
        <w:rPr>
          <w:rFonts w:eastAsia="黑体"/>
          <w:bCs/>
          <w:color w:val="000000"/>
          <w:kern w:val="0"/>
          <w:sz w:val="24"/>
        </w:rPr>
      </w:pPr>
      <w:bookmarkStart w:id="32" w:name="_Toc64898485"/>
      <w:r>
        <w:rPr>
          <w:rFonts w:hint="eastAsia" w:eastAsia="黑体"/>
          <w:bCs/>
          <w:color w:val="000000"/>
          <w:kern w:val="0"/>
          <w:sz w:val="24"/>
        </w:rPr>
        <w:t>十一、强制性国家标准所涉及的产品、过程或者服务目录</w:t>
      </w:r>
      <w:bookmarkEnd w:id="32"/>
    </w:p>
    <w:p>
      <w:pPr>
        <w:adjustRightInd w:val="0"/>
        <w:snapToGrid w:val="0"/>
        <w:spacing w:line="400" w:lineRule="exact"/>
        <w:ind w:firstLine="420"/>
        <w:rPr>
          <w:szCs w:val="21"/>
        </w:rPr>
      </w:pPr>
      <w:r>
        <w:rPr>
          <w:rFonts w:hint="eastAsia"/>
          <w:szCs w:val="21"/>
        </w:rPr>
        <w:t>本标准所涉及的产品为</w:t>
      </w:r>
      <w:r>
        <w:rPr>
          <w:szCs w:val="21"/>
        </w:rPr>
        <w:t>机动车上安装、粘贴或配备的机动车回复反射器、车身反光标识、车辆尾部标志板和机动车用三角警告牌</w:t>
      </w:r>
      <w:r>
        <w:rPr>
          <w:rFonts w:hint="eastAsia"/>
          <w:szCs w:val="21"/>
        </w:rPr>
        <w:t>。</w:t>
      </w:r>
    </w:p>
    <w:p>
      <w:pPr>
        <w:autoSpaceDE w:val="0"/>
        <w:autoSpaceDN w:val="0"/>
        <w:adjustRightInd w:val="0"/>
        <w:spacing w:line="400" w:lineRule="exact"/>
        <w:ind w:firstLine="480"/>
        <w:jc w:val="left"/>
        <w:outlineLvl w:val="0"/>
        <w:rPr>
          <w:rFonts w:eastAsia="黑体"/>
          <w:bCs/>
          <w:color w:val="000000"/>
          <w:kern w:val="0"/>
          <w:sz w:val="24"/>
        </w:rPr>
      </w:pPr>
      <w:bookmarkStart w:id="33" w:name="_Toc64898486"/>
      <w:r>
        <w:rPr>
          <w:rFonts w:hint="eastAsia" w:eastAsia="黑体"/>
          <w:bCs/>
          <w:color w:val="000000"/>
          <w:kern w:val="0"/>
          <w:sz w:val="24"/>
        </w:rPr>
        <w:t>十二、其他应当予以说明的事项</w:t>
      </w:r>
      <w:bookmarkEnd w:id="19"/>
      <w:bookmarkEnd w:id="33"/>
    </w:p>
    <w:p>
      <w:pPr>
        <w:adjustRightInd w:val="0"/>
        <w:snapToGrid w:val="0"/>
        <w:spacing w:line="400" w:lineRule="exact"/>
        <w:ind w:firstLine="420"/>
        <w:rPr>
          <w:szCs w:val="21"/>
        </w:rPr>
      </w:pPr>
      <w:r>
        <w:rPr>
          <w:rFonts w:hint="eastAsia"/>
          <w:szCs w:val="21"/>
        </w:rPr>
        <w:t>无</w:t>
      </w:r>
      <w:r>
        <w:rPr>
          <w:szCs w:val="21"/>
        </w:rPr>
        <w:t>。</w:t>
      </w:r>
    </w:p>
    <w:sectPr>
      <w:footerReference r:id="rId8" w:type="first"/>
      <w:footerReference r:id="rId6" w:type="default"/>
      <w:headerReference r:id="rId5" w:type="even"/>
      <w:footerReference r:id="rId7" w:type="even"/>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Courier">
    <w:altName w:val="Liberation Mono"/>
    <w:panose1 w:val="02070409020205020404"/>
    <w:charset w:val="00"/>
    <w:family w:val="modern"/>
    <w:pitch w:val="default"/>
    <w:sig w:usb0="00000000" w:usb1="00000000" w:usb2="00000000" w:usb3="00000000" w:csb0="00000001" w:csb1="00000000"/>
  </w:font>
  <w:font w:name="MS Mincho">
    <w:altName w:val="Droid Sans Japanese"/>
    <w:panose1 w:val="02020609040205080304"/>
    <w:charset w:val="80"/>
    <w:family w:val="moder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Liberation Mono">
    <w:panose1 w:val="02070409020205020404"/>
    <w:charset w:val="00"/>
    <w:family w:val="auto"/>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756472"/>
    </w:sdtPr>
    <w:sdtContent>
      <w:p>
        <w:pPr>
          <w:pStyle w:val="5"/>
          <w:ind w:firstLine="360"/>
          <w:jc w:val="center"/>
        </w:pPr>
        <w:r>
          <w:fldChar w:fldCharType="begin"/>
        </w:r>
        <w:r>
          <w:instrText xml:space="preserve">PAGE   \* MERGEFORMAT</w:instrText>
        </w:r>
        <w:r>
          <w:fldChar w:fldCharType="separate"/>
        </w:r>
        <w:r>
          <w:rPr>
            <w:lang w:val="zh-CN"/>
          </w:rPr>
          <w:t>8</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995670"/>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p>
    <w:pPr>
      <w:pStyle w:val="5"/>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B586C"/>
    <w:multiLevelType w:val="singleLevel"/>
    <w:tmpl w:val="5A9B586C"/>
    <w:lvl w:ilvl="0" w:tentative="0">
      <w:start w:val="1"/>
      <w:numFmt w:val="lowerLetter"/>
      <w:pStyle w:val="23"/>
      <w:suff w:val="nothing"/>
      <w:lvlText w:val="%1）"/>
      <w:lvlJc w:val="left"/>
    </w:lvl>
  </w:abstractNum>
  <w:abstractNum w:abstractNumId="1">
    <w:nsid w:val="5E7966C7"/>
    <w:multiLevelType w:val="singleLevel"/>
    <w:tmpl w:val="5E7966C7"/>
    <w:lvl w:ilvl="0" w:tentative="0">
      <w:start w:val="1"/>
      <w:numFmt w:val="lowerLetter"/>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lang w:val="en-US"/>
      </w:rPr>
    </w:lvl>
    <w:lvl w:ilvl="5" w:tentative="0">
      <w:start w:val="1"/>
      <w:numFmt w:val="decimal"/>
      <w:lvlRestart w:val="0"/>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C452DC1"/>
    <w:multiLevelType w:val="singleLevel"/>
    <w:tmpl w:val="7C452DC1"/>
    <w:lvl w:ilvl="0" w:tentative="0">
      <w:start w:val="1"/>
      <w:numFmt w:val="lowerLetter"/>
      <w:suff w:val="nothing"/>
      <w:lvlText w:val="%1）"/>
      <w:lvlJc w:val="left"/>
    </w:lvl>
  </w:abstractNum>
  <w:abstractNum w:abstractNumId="4">
    <w:nsid w:val="7D167C69"/>
    <w:multiLevelType w:val="multilevel"/>
    <w:tmpl w:val="7D167C6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45"/>
    <w:rsid w:val="000345B2"/>
    <w:rsid w:val="00050594"/>
    <w:rsid w:val="0005539D"/>
    <w:rsid w:val="00076A59"/>
    <w:rsid w:val="000C0DA8"/>
    <w:rsid w:val="000D42F9"/>
    <w:rsid w:val="00111183"/>
    <w:rsid w:val="00114B25"/>
    <w:rsid w:val="00123EF0"/>
    <w:rsid w:val="00144939"/>
    <w:rsid w:val="00167B0A"/>
    <w:rsid w:val="0019531D"/>
    <w:rsid w:val="001A06FF"/>
    <w:rsid w:val="001D41B6"/>
    <w:rsid w:val="001F0186"/>
    <w:rsid w:val="002118E8"/>
    <w:rsid w:val="00234FFC"/>
    <w:rsid w:val="0023622B"/>
    <w:rsid w:val="002523CA"/>
    <w:rsid w:val="00260138"/>
    <w:rsid w:val="00280CC2"/>
    <w:rsid w:val="002A65E3"/>
    <w:rsid w:val="002E5FD1"/>
    <w:rsid w:val="002F2D31"/>
    <w:rsid w:val="002F5F1A"/>
    <w:rsid w:val="00316498"/>
    <w:rsid w:val="00334F3D"/>
    <w:rsid w:val="0038138E"/>
    <w:rsid w:val="0038380F"/>
    <w:rsid w:val="003B19DA"/>
    <w:rsid w:val="003B211E"/>
    <w:rsid w:val="003B3508"/>
    <w:rsid w:val="003B37AB"/>
    <w:rsid w:val="003C3A6A"/>
    <w:rsid w:val="003F140E"/>
    <w:rsid w:val="0044739F"/>
    <w:rsid w:val="00457376"/>
    <w:rsid w:val="004603C7"/>
    <w:rsid w:val="00464D17"/>
    <w:rsid w:val="00491213"/>
    <w:rsid w:val="004A0EA7"/>
    <w:rsid w:val="004A3BD7"/>
    <w:rsid w:val="004A6F9B"/>
    <w:rsid w:val="004C44DE"/>
    <w:rsid w:val="005470BD"/>
    <w:rsid w:val="00552A94"/>
    <w:rsid w:val="00577F9A"/>
    <w:rsid w:val="00580B05"/>
    <w:rsid w:val="005A2471"/>
    <w:rsid w:val="005B19DC"/>
    <w:rsid w:val="005D7010"/>
    <w:rsid w:val="005E5508"/>
    <w:rsid w:val="005F15DA"/>
    <w:rsid w:val="00643C9A"/>
    <w:rsid w:val="0068575E"/>
    <w:rsid w:val="006B15F5"/>
    <w:rsid w:val="006F40E0"/>
    <w:rsid w:val="00705B04"/>
    <w:rsid w:val="007745D4"/>
    <w:rsid w:val="00776152"/>
    <w:rsid w:val="00776C0C"/>
    <w:rsid w:val="00785229"/>
    <w:rsid w:val="007B4F1B"/>
    <w:rsid w:val="007C129F"/>
    <w:rsid w:val="007C1F78"/>
    <w:rsid w:val="007E5F70"/>
    <w:rsid w:val="008045A0"/>
    <w:rsid w:val="008104ED"/>
    <w:rsid w:val="00814265"/>
    <w:rsid w:val="00820218"/>
    <w:rsid w:val="00841A6D"/>
    <w:rsid w:val="0086082F"/>
    <w:rsid w:val="0088030E"/>
    <w:rsid w:val="00886CF0"/>
    <w:rsid w:val="00892845"/>
    <w:rsid w:val="008A2455"/>
    <w:rsid w:val="008C09FD"/>
    <w:rsid w:val="00930515"/>
    <w:rsid w:val="00945B03"/>
    <w:rsid w:val="009535F8"/>
    <w:rsid w:val="0095555A"/>
    <w:rsid w:val="009656D2"/>
    <w:rsid w:val="009C347B"/>
    <w:rsid w:val="009D4CD2"/>
    <w:rsid w:val="009F2435"/>
    <w:rsid w:val="00A11127"/>
    <w:rsid w:val="00A2748A"/>
    <w:rsid w:val="00A428BE"/>
    <w:rsid w:val="00A90917"/>
    <w:rsid w:val="00AE370E"/>
    <w:rsid w:val="00B070F0"/>
    <w:rsid w:val="00B1292A"/>
    <w:rsid w:val="00B2700B"/>
    <w:rsid w:val="00B31F07"/>
    <w:rsid w:val="00B365BB"/>
    <w:rsid w:val="00B93CF6"/>
    <w:rsid w:val="00BB727F"/>
    <w:rsid w:val="00BF7A70"/>
    <w:rsid w:val="00C006B8"/>
    <w:rsid w:val="00C06783"/>
    <w:rsid w:val="00C51068"/>
    <w:rsid w:val="00C75369"/>
    <w:rsid w:val="00C9222F"/>
    <w:rsid w:val="00C96814"/>
    <w:rsid w:val="00CA413F"/>
    <w:rsid w:val="00CB5ED1"/>
    <w:rsid w:val="00CB6825"/>
    <w:rsid w:val="00CC47BF"/>
    <w:rsid w:val="00CD21CA"/>
    <w:rsid w:val="00CD660D"/>
    <w:rsid w:val="00D2752D"/>
    <w:rsid w:val="00D37C97"/>
    <w:rsid w:val="00D42A60"/>
    <w:rsid w:val="00D47904"/>
    <w:rsid w:val="00D61429"/>
    <w:rsid w:val="00D62655"/>
    <w:rsid w:val="00D90417"/>
    <w:rsid w:val="00DA27FA"/>
    <w:rsid w:val="00DB06C8"/>
    <w:rsid w:val="00DE0DFE"/>
    <w:rsid w:val="00DF0AF6"/>
    <w:rsid w:val="00E33825"/>
    <w:rsid w:val="00E86E25"/>
    <w:rsid w:val="00E9282C"/>
    <w:rsid w:val="00EA1D8E"/>
    <w:rsid w:val="00EA2081"/>
    <w:rsid w:val="00EA6B1A"/>
    <w:rsid w:val="00EB3970"/>
    <w:rsid w:val="00ED2E06"/>
    <w:rsid w:val="00EE11DF"/>
    <w:rsid w:val="00EF2BCA"/>
    <w:rsid w:val="00EF600F"/>
    <w:rsid w:val="00EF7841"/>
    <w:rsid w:val="00F07F74"/>
    <w:rsid w:val="00F6014B"/>
    <w:rsid w:val="00F968CC"/>
    <w:rsid w:val="00FB63E9"/>
    <w:rsid w:val="0E1B6B95"/>
    <w:rsid w:val="0E6B1559"/>
    <w:rsid w:val="180F3968"/>
    <w:rsid w:val="18954A47"/>
    <w:rsid w:val="210975B0"/>
    <w:rsid w:val="3BF7A6F7"/>
    <w:rsid w:val="44F869EE"/>
    <w:rsid w:val="534F0538"/>
    <w:rsid w:val="57EE638A"/>
    <w:rsid w:val="6196545C"/>
    <w:rsid w:val="61E746AF"/>
    <w:rsid w:val="77F67934"/>
    <w:rsid w:val="A7A7AB55"/>
    <w:rsid w:val="EBD7270E"/>
    <w:rsid w:val="F7FFB693"/>
    <w:rsid w:val="FAFFC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semiHidden/>
    <w:unhideWhenUsed/>
    <w:qFormat/>
    <w:uiPriority w:val="99"/>
    <w:pPr>
      <w:jc w:val="left"/>
    </w:pPr>
  </w:style>
  <w:style w:type="paragraph" w:styleId="4">
    <w:name w:val="Balloon Text"/>
    <w:basedOn w:val="1"/>
    <w:link w:val="30"/>
    <w:semiHidden/>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annotation subject"/>
    <w:basedOn w:val="3"/>
    <w:next w:val="3"/>
    <w:link w:val="34"/>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标题 1 字符"/>
    <w:basedOn w:val="11"/>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19">
    <w:name w:val="List Paragraph"/>
    <w:basedOn w:val="1"/>
    <w:qFormat/>
    <w:uiPriority w:val="34"/>
    <w:pPr>
      <w:ind w:firstLine="420"/>
    </w:pPr>
  </w:style>
  <w:style w:type="paragraph" w:customStyle="1" w:styleId="20">
    <w:name w:val="段"/>
    <w:link w:val="2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2">
    <w:name w:val="Body text|1"/>
    <w:basedOn w:val="1"/>
    <w:qFormat/>
    <w:uiPriority w:val="0"/>
    <w:pPr>
      <w:spacing w:line="334" w:lineRule="auto"/>
      <w:ind w:firstLine="400" w:firstLineChars="0"/>
      <w:jc w:val="left"/>
    </w:pPr>
    <w:rPr>
      <w:rFonts w:ascii="宋体" w:hAnsi="宋体" w:cs="宋体"/>
      <w:color w:val="000000"/>
      <w:kern w:val="0"/>
      <w:sz w:val="20"/>
      <w:szCs w:val="20"/>
      <w:lang w:val="zh-TW" w:eastAsia="zh-TW" w:bidi="zh-TW"/>
    </w:rPr>
  </w:style>
  <w:style w:type="paragraph" w:customStyle="1" w:styleId="23">
    <w:name w:val="列项——（一级）"/>
    <w:qFormat/>
    <w:uiPriority w:val="0"/>
    <w:pPr>
      <w:widowControl w:val="0"/>
      <w:numPr>
        <w:ilvl w:val="0"/>
        <w:numId w:val="1"/>
      </w:numPr>
      <w:tabs>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24">
    <w:name w:val="列项●（二级）"/>
    <w:qFormat/>
    <w:uiPriority w:val="0"/>
    <w:pPr>
      <w:tabs>
        <w:tab w:val="left" w:pos="840"/>
      </w:tabs>
      <w:jc w:val="both"/>
    </w:pPr>
    <w:rPr>
      <w:rFonts w:ascii="宋体" w:hAnsi="Calibri" w:eastAsia="宋体" w:cs="Times New Roman"/>
      <w:sz w:val="21"/>
      <w:lang w:val="en-US" w:eastAsia="zh-CN" w:bidi="ar-SA"/>
    </w:rPr>
  </w:style>
  <w:style w:type="character" w:customStyle="1" w:styleId="25">
    <w:name w:val="段 Char"/>
    <w:link w:val="20"/>
    <w:qFormat/>
    <w:uiPriority w:val="0"/>
    <w:rPr>
      <w:rFonts w:ascii="宋体" w:hAnsi="Times New Roman" w:eastAsia="宋体" w:cs="Times New Roman"/>
      <w:sz w:val="21"/>
    </w:rPr>
  </w:style>
  <w:style w:type="character" w:customStyle="1" w:styleId="26">
    <w:name w:val="三级条标题 Char"/>
    <w:link w:val="27"/>
    <w:qFormat/>
    <w:uiPriority w:val="0"/>
    <w:rPr>
      <w:rFonts w:eastAsia="黑体"/>
      <w:sz w:val="21"/>
    </w:rPr>
  </w:style>
  <w:style w:type="paragraph" w:customStyle="1" w:styleId="27">
    <w:name w:val="三级条标题"/>
    <w:basedOn w:val="28"/>
    <w:next w:val="20"/>
    <w:link w:val="26"/>
    <w:qFormat/>
    <w:uiPriority w:val="0"/>
    <w:pPr>
      <w:numPr>
        <w:ilvl w:val="4"/>
      </w:numPr>
      <w:outlineLvl w:val="4"/>
    </w:pPr>
    <w:rPr>
      <w:rFonts w:asciiTheme="minorHAnsi" w:hAnsiTheme="minorHAnsi" w:cstheme="minorBidi"/>
    </w:rPr>
  </w:style>
  <w:style w:type="paragraph" w:customStyle="1" w:styleId="28">
    <w:name w:val="二级条标题"/>
    <w:basedOn w:val="1"/>
    <w:next w:val="20"/>
    <w:qFormat/>
    <w:uiPriority w:val="0"/>
    <w:pPr>
      <w:widowControl/>
      <w:numPr>
        <w:ilvl w:val="3"/>
        <w:numId w:val="2"/>
      </w:numPr>
      <w:spacing w:line="240" w:lineRule="auto"/>
      <w:ind w:firstLineChars="0"/>
      <w:jc w:val="left"/>
      <w:outlineLvl w:val="3"/>
    </w:pPr>
    <w:rPr>
      <w:rFonts w:ascii="Calibri" w:hAnsi="Calibri" w:eastAsia="黑体"/>
      <w:kern w:val="0"/>
      <w:szCs w:val="20"/>
    </w:rPr>
  </w:style>
  <w:style w:type="paragraph" w:customStyle="1" w:styleId="29">
    <w:name w:val="四级条标题"/>
    <w:basedOn w:val="27"/>
    <w:next w:val="20"/>
    <w:qFormat/>
    <w:uiPriority w:val="0"/>
    <w:pPr>
      <w:numPr>
        <w:ilvl w:val="5"/>
      </w:numPr>
      <w:ind w:left="2520" w:hanging="420"/>
      <w:outlineLvl w:val="5"/>
    </w:pPr>
  </w:style>
  <w:style w:type="character" w:customStyle="1" w:styleId="30">
    <w:name w:val="批注框文本 字符"/>
    <w:basedOn w:val="11"/>
    <w:link w:val="4"/>
    <w:semiHidden/>
    <w:qFormat/>
    <w:uiPriority w:val="99"/>
    <w:rPr>
      <w:rFonts w:ascii="Times New Roman" w:hAnsi="Times New Roman" w:eastAsia="宋体" w:cs="Times New Roman"/>
      <w:kern w:val="2"/>
      <w:sz w:val="18"/>
      <w:szCs w:val="18"/>
    </w:rPr>
  </w:style>
  <w:style w:type="character" w:customStyle="1" w:styleId="31">
    <w:name w:val="一级条标题 Char"/>
    <w:link w:val="32"/>
    <w:qFormat/>
    <w:locked/>
    <w:uiPriority w:val="0"/>
    <w:rPr>
      <w:rFonts w:eastAsia="黑体"/>
      <w:sz w:val="21"/>
    </w:rPr>
  </w:style>
  <w:style w:type="paragraph" w:customStyle="1" w:styleId="32">
    <w:name w:val="一级条标题"/>
    <w:next w:val="20"/>
    <w:link w:val="31"/>
    <w:qFormat/>
    <w:uiPriority w:val="0"/>
    <w:pPr>
      <w:outlineLvl w:val="2"/>
    </w:pPr>
    <w:rPr>
      <w:rFonts w:eastAsia="黑体" w:asciiTheme="minorHAnsi" w:hAnsiTheme="minorHAnsi" w:cstheme="minorBidi"/>
      <w:sz w:val="21"/>
      <w:lang w:val="en-US" w:eastAsia="zh-CN" w:bidi="ar-SA"/>
    </w:rPr>
  </w:style>
  <w:style w:type="character" w:customStyle="1" w:styleId="33">
    <w:name w:val="批注文字 字符"/>
    <w:basedOn w:val="11"/>
    <w:link w:val="3"/>
    <w:semiHidden/>
    <w:qFormat/>
    <w:uiPriority w:val="99"/>
    <w:rPr>
      <w:rFonts w:ascii="Times New Roman" w:hAnsi="Times New Roman" w:eastAsia="宋体" w:cs="Times New Roman"/>
      <w:kern w:val="2"/>
      <w:sz w:val="21"/>
      <w:szCs w:val="24"/>
    </w:rPr>
  </w:style>
  <w:style w:type="character" w:customStyle="1" w:styleId="34">
    <w:name w:val="批注主题 字符"/>
    <w:basedOn w:val="33"/>
    <w:link w:val="8"/>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1108</Words>
  <Characters>6318</Characters>
  <Lines>52</Lines>
  <Paragraphs>14</Paragraphs>
  <TotalTime>5</TotalTime>
  <ScaleCrop>false</ScaleCrop>
  <LinksUpToDate>false</LinksUpToDate>
  <CharactersWithSpaces>7412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2021-09-09T02:06:00Z</dcterms:created>
  <dc:creator>李云伟</dc:creator>
  <cp:lastModifiedBy>kylin</cp:lastModifiedBy>
  <cp:lastPrinted>2021-05-21T01:21:00Z</cp:lastPrinted>
  <dcterms:modified xsi:type="dcterms:W3CDTF">2021-09-17T08:06:38Z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