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0" w:name="_Toc30310"/>
      <w:bookmarkStart w:id="1" w:name="_Toc28374"/>
      <w:bookmarkStart w:id="2" w:name="_Toc28417"/>
      <w:bookmarkStart w:id="3" w:name="_Toc64898472"/>
      <w:bookmarkStart w:id="4" w:name="_Toc36212235"/>
      <w:r>
        <w:rPr>
          <w:rFonts w:eastAsia="黑体"/>
          <w:color w:val="000000"/>
          <w:kern w:val="0"/>
          <w:sz w:val="32"/>
          <w:szCs w:val="32"/>
        </w:rPr>
        <w:t>《汽车道路照明装置及系统》</w:t>
      </w:r>
      <w:bookmarkEnd w:id="0"/>
      <w:bookmarkEnd w:id="1"/>
      <w:bookmarkEnd w:id="2"/>
      <w:bookmarkEnd w:id="3"/>
      <w:bookmarkEnd w:id="4"/>
      <w:bookmarkStart w:id="5" w:name="_Toc14803"/>
      <w:bookmarkStart w:id="6" w:name="_Toc64898473"/>
      <w:bookmarkStart w:id="7" w:name="_Toc36212236"/>
      <w:bookmarkStart w:id="8" w:name="_Toc21854"/>
      <w:bookmarkStart w:id="9" w:name="_Toc4815"/>
      <w:r>
        <w:rPr>
          <w:rFonts w:eastAsia="黑体"/>
          <w:color w:val="000000"/>
          <w:kern w:val="0"/>
          <w:sz w:val="32"/>
          <w:szCs w:val="32"/>
        </w:rPr>
        <w:t>（征求意见稿）</w:t>
      </w:r>
      <w:bookmarkEnd w:id="5"/>
      <w:bookmarkEnd w:id="6"/>
      <w:bookmarkEnd w:id="7"/>
      <w:bookmarkEnd w:id="8"/>
      <w:bookmarkEnd w:id="9"/>
    </w:p>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10" w:name="_Toc30226"/>
      <w:bookmarkStart w:id="11" w:name="_Toc64898474"/>
      <w:bookmarkStart w:id="12" w:name="_Toc8137"/>
      <w:bookmarkStart w:id="13" w:name="_Toc31546"/>
      <w:bookmarkStart w:id="14" w:name="_Toc36212237"/>
      <w:r>
        <w:rPr>
          <w:rFonts w:eastAsia="黑体"/>
          <w:color w:val="000000"/>
          <w:kern w:val="0"/>
          <w:sz w:val="32"/>
          <w:szCs w:val="32"/>
        </w:rPr>
        <w:t>编制说明</w:t>
      </w:r>
      <w:bookmarkEnd w:id="10"/>
      <w:bookmarkEnd w:id="11"/>
      <w:bookmarkEnd w:id="12"/>
      <w:bookmarkEnd w:id="13"/>
      <w:bookmarkEnd w:id="14"/>
    </w:p>
    <w:p>
      <w:pPr>
        <w:autoSpaceDE w:val="0"/>
        <w:autoSpaceDN w:val="0"/>
        <w:adjustRightInd w:val="0"/>
        <w:spacing w:line="400" w:lineRule="exact"/>
        <w:ind w:firstLine="0" w:firstLineChars="0"/>
        <w:jc w:val="center"/>
        <w:outlineLvl w:val="0"/>
        <w:rPr>
          <w:rFonts w:eastAsia="黑体"/>
          <w:color w:val="000000"/>
          <w:kern w:val="0"/>
          <w:sz w:val="32"/>
          <w:szCs w:val="32"/>
        </w:rPr>
      </w:pPr>
    </w:p>
    <w:p>
      <w:pPr>
        <w:autoSpaceDE w:val="0"/>
        <w:autoSpaceDN w:val="0"/>
        <w:adjustRightInd w:val="0"/>
        <w:spacing w:line="400" w:lineRule="exact"/>
        <w:ind w:firstLine="480"/>
        <w:jc w:val="left"/>
        <w:outlineLvl w:val="0"/>
        <w:rPr>
          <w:rFonts w:eastAsia="黑体"/>
          <w:bCs/>
          <w:color w:val="000000"/>
          <w:kern w:val="0"/>
          <w:sz w:val="24"/>
        </w:rPr>
      </w:pPr>
      <w:bookmarkStart w:id="15" w:name="_Toc64898475"/>
      <w:bookmarkStart w:id="16" w:name="_Toc733"/>
      <w:bookmarkStart w:id="17" w:name="_Toc36212238"/>
      <w:bookmarkStart w:id="18" w:name="_Toc7124"/>
      <w:bookmarkStart w:id="19" w:name="_Hlk64896381"/>
      <w:r>
        <w:rPr>
          <w:rFonts w:eastAsia="黑体"/>
          <w:bCs/>
          <w:color w:val="000000"/>
          <w:kern w:val="0"/>
          <w:sz w:val="24"/>
        </w:rPr>
        <w:t>一、工作简况</w:t>
      </w:r>
      <w:bookmarkEnd w:id="15"/>
      <w:bookmarkEnd w:id="16"/>
      <w:bookmarkEnd w:id="17"/>
      <w:bookmarkEnd w:id="18"/>
    </w:p>
    <w:p>
      <w:pPr>
        <w:autoSpaceDE w:val="0"/>
        <w:autoSpaceDN w:val="0"/>
        <w:adjustRightInd w:val="0"/>
        <w:spacing w:line="400" w:lineRule="exact"/>
        <w:ind w:firstLine="422"/>
        <w:jc w:val="left"/>
        <w:outlineLvl w:val="0"/>
        <w:rPr>
          <w:b/>
          <w:szCs w:val="21"/>
        </w:rPr>
      </w:pPr>
      <w:r>
        <w:rPr>
          <w:b/>
          <w:szCs w:val="21"/>
        </w:rPr>
        <w:t>（一）任务来源</w:t>
      </w:r>
    </w:p>
    <w:p>
      <w:pPr>
        <w:spacing w:line="400" w:lineRule="exact"/>
        <w:ind w:firstLine="480"/>
        <w:rPr>
          <w:sz w:val="24"/>
        </w:rPr>
      </w:pPr>
      <w:r>
        <w:rPr>
          <w:sz w:val="24"/>
        </w:rPr>
        <w:t>2015年国务院印发了</w:t>
      </w:r>
      <w:r>
        <w:rPr>
          <w:rFonts w:hint="eastAsia"/>
          <w:sz w:val="24"/>
        </w:rPr>
        <w:t>《</w:t>
      </w:r>
      <w:r>
        <w:rPr>
          <w:sz w:val="24"/>
        </w:rPr>
        <w:t>关于印发深化标准化工作改革方案的通知</w:t>
      </w:r>
      <w:r>
        <w:rPr>
          <w:rFonts w:hint="eastAsia"/>
          <w:sz w:val="24"/>
        </w:rPr>
        <w:t>》</w:t>
      </w:r>
      <w:r>
        <w:rPr>
          <w:sz w:val="24"/>
        </w:rPr>
        <w:t>，2016年出台了</w:t>
      </w:r>
      <w:r>
        <w:rPr>
          <w:rFonts w:hint="eastAsia"/>
          <w:sz w:val="24"/>
        </w:rPr>
        <w:t>《</w:t>
      </w:r>
      <w:r>
        <w:rPr>
          <w:sz w:val="24"/>
        </w:rPr>
        <w:t>强制性标准整合精简工作方案</w:t>
      </w:r>
      <w:r>
        <w:rPr>
          <w:rFonts w:hint="eastAsia"/>
          <w:sz w:val="24"/>
        </w:rPr>
        <w:t>》</w:t>
      </w:r>
      <w:r>
        <w:rPr>
          <w:sz w:val="24"/>
        </w:rPr>
        <w:t>，依据这两个工作方案，全国汽车标准化技术委员会（以下简称汽标委）启动了汽车行业强制性国家标准的精简整合工作；依据整体工作安排，同年灯光标准启动了整合工作。汽标委灯光分标委在2017年向国家标准化管理委员会（以下简称国标委）进行了灯光标准整合项目修订的计划申报，2019年国标委在国标委发〔2019〕14号文件中，下达了《机动车道路照明装置和系统》（20190050-Q-339）标准修订计划。标准性质为强制性国家标准，起草单位为中国汽车技术研究有限公司（以下简称中汽中心）等。2017年工业和信息化部科技司关于做好强制性标准（含计划）整合精简结论后续落实工作的通知（工科函〔2017〕464号），其中涉及到汽车前照明的强制性国家标准包括了GB 4599-2007,</w:t>
      </w:r>
      <w:r>
        <w:rPr>
          <w:bCs/>
          <w:color w:val="000000"/>
          <w:kern w:val="0"/>
          <w:sz w:val="24"/>
        </w:rPr>
        <w:t xml:space="preserve"> GB 4660-2016，</w:t>
      </w:r>
      <w:r>
        <w:rPr>
          <w:sz w:val="24"/>
        </w:rPr>
        <w:t>GB 21259-2007,GB 25991-2010,GB/T 30036-2013,GB/T 30511-2014六项。</w:t>
      </w:r>
    </w:p>
    <w:p>
      <w:pPr>
        <w:autoSpaceDE w:val="0"/>
        <w:autoSpaceDN w:val="0"/>
        <w:adjustRightInd w:val="0"/>
        <w:spacing w:line="400" w:lineRule="exact"/>
        <w:ind w:firstLine="422"/>
        <w:jc w:val="left"/>
        <w:outlineLvl w:val="0"/>
        <w:rPr>
          <w:b/>
          <w:szCs w:val="21"/>
        </w:rPr>
      </w:pPr>
      <w:r>
        <w:rPr>
          <w:b/>
          <w:szCs w:val="21"/>
        </w:rPr>
        <w:t>（二）标准起草单位</w:t>
      </w:r>
    </w:p>
    <w:p>
      <w:pPr>
        <w:spacing w:line="400" w:lineRule="exact"/>
        <w:ind w:firstLine="480"/>
        <w:rPr>
          <w:sz w:val="24"/>
        </w:rPr>
      </w:pPr>
      <w:r>
        <w:rPr>
          <w:sz w:val="24"/>
        </w:rPr>
        <w:t>本标准主要起草单位包括中国汽车技术研究中心有限公司、上海机动车检测认证技术研究中心有限公司、法雷奥市光</w:t>
      </w:r>
      <w:r>
        <w:rPr>
          <w:rFonts w:hint="eastAsia"/>
          <w:sz w:val="24"/>
        </w:rPr>
        <w:t>（</w:t>
      </w:r>
      <w:r>
        <w:rPr>
          <w:sz w:val="24"/>
        </w:rPr>
        <w:t>中国</w:t>
      </w:r>
      <w:r>
        <w:rPr>
          <w:rFonts w:hint="eastAsia"/>
          <w:sz w:val="24"/>
        </w:rPr>
        <w:t>）</w:t>
      </w:r>
      <w:r>
        <w:rPr>
          <w:sz w:val="24"/>
        </w:rPr>
        <w:t>车灯有限公司、欧司朗企业管理有限公司、华域视觉科技（上海）有限公司、常州星宇车灯股份有限公司、上汽大众汽车有限公司、嘉兴海拉灯具有限公司南京研发分公司、国家轻工业电光源产品质量监督检测宝鸡站、亮锐（上海）管理有限公司、中汽研汽车检验中心（天津）有限公司、襄阳达安汽车检测中心有限公司，长春汽车检测中心有限责任公司。</w:t>
      </w:r>
    </w:p>
    <w:p>
      <w:pPr>
        <w:autoSpaceDE w:val="0"/>
        <w:autoSpaceDN w:val="0"/>
        <w:adjustRightInd w:val="0"/>
        <w:spacing w:line="400" w:lineRule="exact"/>
        <w:ind w:firstLine="422"/>
        <w:jc w:val="left"/>
        <w:outlineLvl w:val="0"/>
        <w:rPr>
          <w:b/>
          <w:szCs w:val="21"/>
        </w:rPr>
      </w:pPr>
      <w:r>
        <w:rPr>
          <w:rFonts w:hint="eastAsia"/>
          <w:b/>
          <w:szCs w:val="21"/>
        </w:rPr>
        <w:t>（三）</w:t>
      </w:r>
      <w:r>
        <w:rPr>
          <w:b/>
          <w:szCs w:val="21"/>
        </w:rPr>
        <w:t>起草过程</w:t>
      </w:r>
    </w:p>
    <w:p>
      <w:pPr>
        <w:spacing w:line="400" w:lineRule="exact"/>
        <w:ind w:firstLine="480"/>
        <w:rPr>
          <w:sz w:val="24"/>
        </w:rPr>
      </w:pPr>
      <w:r>
        <w:rPr>
          <w:sz w:val="24"/>
        </w:rPr>
        <w:t>2019年4月强标修订计划下达，计划号为20190050-Q-339，中国汽车技术研究中心有限公司牵头起草该标准。早在2016年汽标委部署汽车行业强制性国家标准精简整合任务后，汽标委即成立“汽车灯光标准整合研究工作组”，灯光整合系列标准在此工作组开展行修订工作，由国内主要检测机构、灯具生产企业和整车企业联合成立了工作组，开展标准具体技术内容研究工作，完善标准草稿和编制说明，进行标准征求意见及反馈意见处理等。</w:t>
      </w:r>
    </w:p>
    <w:p>
      <w:pPr>
        <w:spacing w:line="400" w:lineRule="exact"/>
        <w:ind w:firstLine="480"/>
        <w:rPr>
          <w:sz w:val="24"/>
        </w:rPr>
      </w:pPr>
      <w:r>
        <w:rPr>
          <w:sz w:val="24"/>
        </w:rPr>
        <w:t>该标准将整合修订GB 4599-2007《汽车用灯丝灯泡前照灯》、GB 4660-2016《机动车用前雾灯配光性能》、GB 21259-2007《汽车用气体放电光源前照灯》、GB 25991-2010《汽车用LED前照灯》、GB/T 30036-2013《汽车用自适应前照明系统》、GB/T 30511-2014《汽车用角灯配光性能》标准。</w:t>
      </w:r>
    </w:p>
    <w:p>
      <w:pPr>
        <w:spacing w:line="400" w:lineRule="exact"/>
        <w:ind w:firstLine="480"/>
        <w:rPr>
          <w:sz w:val="24"/>
        </w:rPr>
      </w:pPr>
      <w:r>
        <w:rPr>
          <w:rFonts w:hint="eastAsia"/>
          <w:sz w:val="24"/>
        </w:rPr>
        <w:t>2</w:t>
      </w:r>
      <w:r>
        <w:rPr>
          <w:sz w:val="24"/>
        </w:rPr>
        <w:t>016年10月在天津市召开《机动车道路照明装置和系统》标准起草工作组成立大会，成员包括中国汽车技术研究中心有限公司、华域视觉科技（上海）有限公司、常州星宇车灯股份有限公司、海拉公司南京研发分公司、法雷奥市光(中国)车灯有限公司、国家轻工业电光源产品质量监督检测宝鸡站、欧司朗企业管理有限公司上海分公司、上海机动车检测中心有限公司、上汽大众汽车有限公司等10余家单位。会议讨论并确定标准制定总体工作方案、研究内容、工作目标和任务安排，各相关单位立即开展了标准修订的前期研究。</w:t>
      </w:r>
    </w:p>
    <w:p>
      <w:pPr>
        <w:spacing w:line="400" w:lineRule="exact"/>
        <w:ind w:firstLine="480"/>
        <w:rPr>
          <w:sz w:val="24"/>
        </w:rPr>
      </w:pPr>
      <w:r>
        <w:rPr>
          <w:sz w:val="24"/>
        </w:rPr>
        <w:t>2017年3月7日至3月8日，标准起草项目组在江苏省常州市召开了第一次标准研讨会，与会代表对标准修订方向、内容和具体事项进行了讨论，并将标准修订工作进行了分工，确定了标准技术内容参考联合国法规UN R19，UN R87，UN R98，UN R112，UN R123技术内容的工作方案，考虑到ECE法规正在整合，未来将参考整合后的UN Regulation No.149法规。</w:t>
      </w:r>
    </w:p>
    <w:p>
      <w:pPr>
        <w:spacing w:line="400" w:lineRule="exact"/>
        <w:ind w:firstLine="480"/>
        <w:rPr>
          <w:sz w:val="24"/>
        </w:rPr>
      </w:pPr>
      <w:r>
        <w:rPr>
          <w:sz w:val="24"/>
        </w:rPr>
        <w:t>2017年11月07日，标准项目起草组在江苏省无锡市召开了第二次标准研讨会，会议上介绍了ECE前照明整合标准第一阶段工作内容。在第二阶段整合未结束时，将以该标准为主要参考，并不断进行修订。</w:t>
      </w:r>
    </w:p>
    <w:p>
      <w:pPr>
        <w:spacing w:line="400" w:lineRule="exact"/>
        <w:ind w:firstLine="480"/>
        <w:rPr>
          <w:sz w:val="24"/>
        </w:rPr>
      </w:pPr>
      <w:r>
        <w:rPr>
          <w:sz w:val="24"/>
        </w:rPr>
        <w:t>2018年3月26日，标准项目起草组在江苏省昆山市召开了第三次标准研讨会，与会代表仔细的对标准草稿进行了讨论、推敲</w:t>
      </w:r>
      <w:r>
        <w:rPr>
          <w:rFonts w:hint="eastAsia"/>
          <w:sz w:val="24"/>
        </w:rPr>
        <w:t>，</w:t>
      </w:r>
      <w:r>
        <w:rPr>
          <w:sz w:val="24"/>
        </w:rPr>
        <w:t>对具体条款提出了相应的修改意见。</w:t>
      </w:r>
    </w:p>
    <w:p>
      <w:pPr>
        <w:spacing w:line="400" w:lineRule="exact"/>
        <w:ind w:firstLine="480"/>
        <w:rPr>
          <w:sz w:val="24"/>
        </w:rPr>
      </w:pPr>
      <w:r>
        <w:rPr>
          <w:sz w:val="24"/>
        </w:rPr>
        <w:t>2018年6月12日至6月13日，标准项目起草组在浙江省台州市召开了第四次标准研讨会，对前照明装置及系统的国标草案进行了整体情况介绍，然后进行了详细讨论。</w:t>
      </w:r>
    </w:p>
    <w:p>
      <w:pPr>
        <w:spacing w:line="400" w:lineRule="exact"/>
        <w:ind w:firstLine="480"/>
        <w:rPr>
          <w:sz w:val="24"/>
        </w:rPr>
      </w:pPr>
      <w:r>
        <w:rPr>
          <w:sz w:val="24"/>
        </w:rPr>
        <w:t>2018年12月12日至12月13日，标准项目起草组在天津市召开了第五次标准研讨会，会议再次强调了灯光标准整合工作的重要性，随后按照会议日程安排，进行了标准草案的讨论。</w:t>
      </w:r>
    </w:p>
    <w:p>
      <w:pPr>
        <w:spacing w:line="400" w:lineRule="exact"/>
        <w:ind w:firstLine="480"/>
        <w:rPr>
          <w:sz w:val="24"/>
        </w:rPr>
      </w:pPr>
      <w:r>
        <w:rPr>
          <w:sz w:val="24"/>
        </w:rPr>
        <w:t>2019年09月04日至05日，标准项目起草组在天津市召开了第六次标准研讨会。本次会议前，前照灯标准草案收到来自 6 家企业23条的书面意见反馈，与会成员对意见反馈和起草组的处理意见进行了详细的讨论，同时对整理后的标准草案也进行了详细的讨论</w:t>
      </w:r>
      <w:r>
        <w:rPr>
          <w:rFonts w:hint="eastAsia"/>
          <w:sz w:val="24"/>
        </w:rPr>
        <w:t>。</w:t>
      </w:r>
    </w:p>
    <w:p>
      <w:pPr>
        <w:spacing w:line="400" w:lineRule="exact"/>
        <w:ind w:firstLine="480"/>
        <w:rPr>
          <w:sz w:val="24"/>
        </w:rPr>
      </w:pPr>
      <w:r>
        <w:rPr>
          <w:sz w:val="24"/>
        </w:rPr>
        <w:t>2019年12月17日至12月18日，标准项目起草组在天津市召开了第七次标准研讨会。本次会议前，前照灯标准草案收到来自6家企业16条的书面意见反馈，与会成员对意见反馈和起草组的处理意见进行了详细的讨论，同时对整理后的标准草案也进行了详细的讨论。</w:t>
      </w:r>
    </w:p>
    <w:p>
      <w:pPr>
        <w:spacing w:line="400" w:lineRule="exact"/>
        <w:ind w:firstLine="480"/>
        <w:rPr>
          <w:sz w:val="24"/>
        </w:rPr>
      </w:pPr>
      <w:r>
        <w:rPr>
          <w:sz w:val="24"/>
        </w:rPr>
        <w:t>2020年7月14日，标准项目起草组召开了第八次标准研讨会，本次会议因为疫情原因改为网络会议的方式进行，会议回顾了上几次会议的情况以及本次会议开始前征集到的标准草案反馈意见。本次会议开始前，起草组共收到5家企业的15条书面反馈意见。与会成员对意见反馈和起草组的处理意见进行了详细的讨论，同时对整理后的标准草案也进行了详细的讨论。</w:t>
      </w:r>
    </w:p>
    <w:p>
      <w:pPr>
        <w:spacing w:line="400" w:lineRule="exact"/>
        <w:ind w:firstLine="480"/>
        <w:rPr>
          <w:sz w:val="24"/>
        </w:rPr>
      </w:pPr>
      <w:r>
        <w:rPr>
          <w:sz w:val="24"/>
        </w:rPr>
        <w:t>2020年11月16日，标准项目起草组在云南省昆明市召开了第九次标准研讨会，本次会议开始前起草组按照GB/T 1.1-2020的各项要求对现有标准草案文本进行了全面调整。起草组本次会议前共收到5家企业的6条书面反馈意见。与会成员对意见反馈和起草组的处理意见进行了详细的讨论，同时对整理后的标准草案也进行了详细的讨论。</w:t>
      </w:r>
    </w:p>
    <w:p>
      <w:pPr>
        <w:spacing w:line="400" w:lineRule="exact"/>
        <w:ind w:firstLine="480"/>
        <w:rPr>
          <w:sz w:val="24"/>
        </w:rPr>
      </w:pPr>
      <w:r>
        <w:rPr>
          <w:sz w:val="24"/>
        </w:rPr>
        <w:t>2021年5月19日至5月20日，标准项目起草组在天津市召开了第十次标准研讨会。起草组本次会议前共收到工作组和灯光分标委共38条书面反馈意见。与会成员对意见反馈和起草组的处理意见进行了详细的讨论，同时对整理后的标准草案也进行了详细的讨论。</w:t>
      </w:r>
    </w:p>
    <w:p>
      <w:pPr>
        <w:spacing w:line="400" w:lineRule="exact"/>
        <w:ind w:firstLine="480"/>
        <w:rPr>
          <w:sz w:val="24"/>
        </w:rPr>
      </w:pPr>
      <w:r>
        <w:rPr>
          <w:sz w:val="24"/>
        </w:rPr>
        <w:t>2021年7月12日，标准项目起草组核心工作小组在天津市召开试验验证总结工作，同时对标准草案文本进行了适当的调整</w:t>
      </w:r>
      <w:r>
        <w:rPr>
          <w:rFonts w:hint="eastAsia"/>
          <w:sz w:val="24"/>
        </w:rPr>
        <w:t>完善。</w:t>
      </w:r>
    </w:p>
    <w:p>
      <w:pPr>
        <w:autoSpaceDE w:val="0"/>
        <w:autoSpaceDN w:val="0"/>
        <w:adjustRightInd w:val="0"/>
        <w:spacing w:line="400" w:lineRule="exact"/>
        <w:ind w:firstLine="480"/>
        <w:jc w:val="left"/>
        <w:outlineLvl w:val="0"/>
        <w:rPr>
          <w:rFonts w:eastAsia="黑体"/>
          <w:bCs/>
          <w:color w:val="000000"/>
          <w:kern w:val="0"/>
          <w:sz w:val="24"/>
        </w:rPr>
      </w:pPr>
      <w:bookmarkStart w:id="20" w:name="_Toc64898476"/>
      <w:r>
        <w:rPr>
          <w:rFonts w:eastAsia="黑体"/>
          <w:bCs/>
          <w:color w:val="000000"/>
          <w:kern w:val="0"/>
          <w:sz w:val="24"/>
        </w:rPr>
        <w:t>二、编制原则、强制性国家标准主要技术要求的依据及理由</w:t>
      </w:r>
      <w:bookmarkEnd w:id="20"/>
    </w:p>
    <w:p>
      <w:pPr>
        <w:autoSpaceDE w:val="0"/>
        <w:autoSpaceDN w:val="0"/>
        <w:adjustRightInd w:val="0"/>
        <w:spacing w:line="400" w:lineRule="exact"/>
        <w:ind w:firstLine="422"/>
        <w:jc w:val="left"/>
        <w:outlineLvl w:val="0"/>
        <w:rPr>
          <w:b/>
          <w:szCs w:val="21"/>
        </w:rPr>
      </w:pPr>
      <w:r>
        <w:rPr>
          <w:rFonts w:hint="eastAsia"/>
          <w:b/>
          <w:szCs w:val="21"/>
        </w:rPr>
        <w:t>（一）</w:t>
      </w:r>
      <w:r>
        <w:rPr>
          <w:b/>
          <w:szCs w:val="21"/>
        </w:rPr>
        <w:t>标准编制的原则</w:t>
      </w:r>
    </w:p>
    <w:p>
      <w:pPr>
        <w:spacing w:line="400" w:lineRule="exact"/>
        <w:ind w:firstLine="480"/>
        <w:rPr>
          <w:sz w:val="24"/>
        </w:rPr>
      </w:pPr>
      <w:r>
        <w:rPr>
          <w:sz w:val="24"/>
        </w:rPr>
        <w:t>规范性原则。本标准的在编写过程中按照GB/T 1.1—2020《标准化工作导则  第1部分：标准化文件的结构和起草规则》和GB/T 20001.10-2014《标准编写规范 第10部分 产品标准》等相关标准给出的规则起草；</w:t>
      </w:r>
    </w:p>
    <w:p>
      <w:pPr>
        <w:spacing w:line="400" w:lineRule="exact"/>
        <w:ind w:firstLine="480"/>
        <w:rPr>
          <w:sz w:val="24"/>
        </w:rPr>
      </w:pPr>
      <w:r>
        <w:rPr>
          <w:sz w:val="24"/>
        </w:rPr>
        <w:t>科学性原则。本标准在编写过程中，贯彻《标准化法》等相关法律法规，充分考虑了行业内相关领域的现行标准，在深入调研的基础上，吸收和听取汽车主机厂、检测机构和灯具生产企业的意见和建议，标准的技术指标充分调研了国内、国际标准法规的要求，标准的关键项目和关键指标均有参考来源或经过试验验证及专家论证。</w:t>
      </w:r>
    </w:p>
    <w:p>
      <w:pPr>
        <w:spacing w:line="400" w:lineRule="exact"/>
        <w:ind w:firstLine="480"/>
        <w:rPr>
          <w:sz w:val="24"/>
        </w:rPr>
      </w:pPr>
      <w:r>
        <w:rPr>
          <w:sz w:val="24"/>
        </w:rPr>
        <w:t>协调性原则。本标准的在编写过程中充分贯彻《标准化法》、中华人民共和国工业和信息化部令第50号《道路机动车辆生产企业及产品准入管理办法》和中华人民共和国工业和信息化部公告2019年第1号《道路机动车辆生产企业准入审查要求和道路机动车辆产品准入审查要求》的要求，同时积极参考UN Regulation 149法规的要求。</w:t>
      </w:r>
    </w:p>
    <w:p>
      <w:pPr>
        <w:spacing w:line="400" w:lineRule="exact"/>
        <w:ind w:firstLine="480"/>
        <w:rPr>
          <w:sz w:val="24"/>
        </w:rPr>
      </w:pPr>
      <w:r>
        <w:rPr>
          <w:sz w:val="24"/>
        </w:rPr>
        <w:t>广泛性原则。本标准在编写过程广泛考虑了各种前照明灯具类型产品的要求和业内的试验方法，标准的适用范围具有相当的广泛性，在确保满足准确度要求和科学合理的前提下，充分考虑我国产业发展的现状。</w:t>
      </w:r>
    </w:p>
    <w:p>
      <w:pPr>
        <w:autoSpaceDE w:val="0"/>
        <w:autoSpaceDN w:val="0"/>
        <w:adjustRightInd w:val="0"/>
        <w:spacing w:line="400" w:lineRule="exact"/>
        <w:ind w:firstLine="422"/>
        <w:jc w:val="left"/>
        <w:outlineLvl w:val="0"/>
        <w:rPr>
          <w:b/>
          <w:szCs w:val="21"/>
        </w:rPr>
      </w:pPr>
      <w:r>
        <w:rPr>
          <w:rFonts w:hint="eastAsia"/>
          <w:b/>
          <w:szCs w:val="21"/>
        </w:rPr>
        <w:t>（二）</w:t>
      </w:r>
      <w:r>
        <w:rPr>
          <w:b/>
          <w:szCs w:val="21"/>
        </w:rPr>
        <w:t>强制性国家标准主要技术要求依据</w:t>
      </w:r>
    </w:p>
    <w:p>
      <w:pPr>
        <w:spacing w:line="400" w:lineRule="exact"/>
        <w:ind w:firstLine="480"/>
        <w:rPr>
          <w:sz w:val="24"/>
        </w:rPr>
      </w:pPr>
      <w:r>
        <w:rPr>
          <w:sz w:val="24"/>
        </w:rPr>
        <w:t>由于长期以来国标中的灯光标准一直是以UN法规中的灯光法规为主要编制依据，目前UN法规中的灯光法规也正在进行第二阶段的整合修订工作，在国标整合起草过程中依然把UN法规及其整合提案作为起草主要依据</w:t>
      </w:r>
      <w:r>
        <w:rPr>
          <w:rFonts w:hint="eastAsia"/>
          <w:sz w:val="24"/>
        </w:rPr>
        <w:t>，主要包括：</w:t>
      </w:r>
      <w:r>
        <w:rPr>
          <w:sz w:val="24"/>
        </w:rPr>
        <w:t>UN Regulation No.149法规及其增补文件；国际汽车照明专家委员会</w:t>
      </w:r>
      <w:r>
        <w:rPr>
          <w:rFonts w:hint="eastAsia"/>
          <w:sz w:val="24"/>
        </w:rPr>
        <w:t>（</w:t>
      </w:r>
      <w:r>
        <w:rPr>
          <w:sz w:val="24"/>
        </w:rPr>
        <w:t>GTB）及联合国GRE灯光标准简化工作小组</w:t>
      </w:r>
      <w:r>
        <w:rPr>
          <w:rFonts w:hint="eastAsia"/>
          <w:sz w:val="24"/>
        </w:rPr>
        <w:t>（</w:t>
      </w:r>
      <w:r>
        <w:rPr>
          <w:sz w:val="24"/>
        </w:rPr>
        <w:t>SLR</w:t>
      </w:r>
      <w:r>
        <w:rPr>
          <w:rFonts w:hint="eastAsia"/>
          <w:sz w:val="24"/>
        </w:rPr>
        <w:t>）</w:t>
      </w:r>
      <w:r>
        <w:rPr>
          <w:sz w:val="24"/>
        </w:rPr>
        <w:t>的相关提案文件</w:t>
      </w:r>
      <w:r>
        <w:rPr>
          <w:rFonts w:hint="eastAsia"/>
          <w:sz w:val="24"/>
        </w:rPr>
        <w:t>等。</w:t>
      </w:r>
    </w:p>
    <w:p>
      <w:pPr>
        <w:autoSpaceDE w:val="0"/>
        <w:autoSpaceDN w:val="0"/>
        <w:adjustRightInd w:val="0"/>
        <w:spacing w:line="400" w:lineRule="exact"/>
        <w:ind w:firstLine="422"/>
        <w:jc w:val="left"/>
        <w:outlineLvl w:val="0"/>
        <w:rPr>
          <w:b/>
          <w:szCs w:val="21"/>
        </w:rPr>
      </w:pPr>
      <w:r>
        <w:rPr>
          <w:rFonts w:hint="eastAsia"/>
          <w:b/>
          <w:szCs w:val="21"/>
        </w:rPr>
        <w:t>（三）</w:t>
      </w:r>
      <w:r>
        <w:rPr>
          <w:b/>
          <w:szCs w:val="21"/>
        </w:rPr>
        <w:t>主要技术内容说明</w:t>
      </w:r>
    </w:p>
    <w:p>
      <w:pPr>
        <w:spacing w:line="400" w:lineRule="exact"/>
        <w:ind w:firstLine="480"/>
        <w:rPr>
          <w:rFonts w:ascii="宋体" w:hAnsi="宋体" w:cs="宋体"/>
          <w:sz w:val="24"/>
        </w:rPr>
      </w:pPr>
      <w:r>
        <w:rPr>
          <w:sz w:val="24"/>
        </w:rPr>
        <w:t>标准名称：由于本标准的适用范围</w:t>
      </w:r>
      <w:r>
        <w:rPr>
          <w:rFonts w:hint="eastAsia" w:ascii="宋体" w:hAnsi="宋体" w:cs="宋体"/>
          <w:sz w:val="24"/>
        </w:rPr>
        <w:t>为“</w:t>
      </w:r>
      <w:r>
        <w:rPr>
          <w:sz w:val="24"/>
        </w:rPr>
        <w:t>M、N类汽车使用的近光前照灯、远光前照灯、自适应性前照明系统、角灯等道路照明装置及系统以及M、N和L类机动车用的前雾灯”，没有包括摩托车使用的近光</w:t>
      </w:r>
      <w:r>
        <w:rPr>
          <w:rFonts w:hint="eastAsia" w:ascii="宋体" w:hAnsi="宋体" w:cs="宋体"/>
          <w:sz w:val="24"/>
        </w:rPr>
        <w:t>前照灯、远光前照灯，因此本标准名称更改为“汽车道路照明装置及系统”。</w:t>
      </w:r>
    </w:p>
    <w:p>
      <w:pPr>
        <w:spacing w:line="400" w:lineRule="exact"/>
        <w:ind w:firstLine="480"/>
        <w:rPr>
          <w:sz w:val="24"/>
        </w:rPr>
      </w:pPr>
      <w:r>
        <w:rPr>
          <w:sz w:val="24"/>
        </w:rPr>
        <w:t>1.范围：本标准适用于M、N类汽车使用的近光前照灯、远光前照灯、自适应性前照明系统、前雾灯、角灯等道路照明装置及系统，其他类型车辆参照执行。本标准相对旧版标准整合了所有的前照明功能。</w:t>
      </w:r>
    </w:p>
    <w:p>
      <w:pPr>
        <w:spacing w:line="400" w:lineRule="exact"/>
        <w:ind w:firstLine="480"/>
        <w:rPr>
          <w:sz w:val="24"/>
        </w:rPr>
      </w:pPr>
      <w:r>
        <w:rPr>
          <w:rFonts w:hint="eastAsia"/>
          <w:sz w:val="24"/>
        </w:rPr>
        <w:t>2.</w:t>
      </w:r>
      <w:r>
        <w:rPr>
          <w:sz w:val="24"/>
        </w:rPr>
        <w:t>术语和定义：</w:t>
      </w:r>
    </w:p>
    <w:p>
      <w:pPr>
        <w:spacing w:line="400" w:lineRule="exact"/>
        <w:ind w:firstLine="480"/>
        <w:rPr>
          <w:rFonts w:ascii="宋体" w:hAnsi="宋体" w:cs="宋体"/>
          <w:sz w:val="24"/>
        </w:rPr>
      </w:pPr>
      <w:r>
        <w:rPr>
          <w:rFonts w:hint="eastAsia" w:ascii="宋体" w:hAnsi="宋体" w:cs="宋体"/>
          <w:sz w:val="24"/>
        </w:rPr>
        <w:t>增加了“道路照明装置”、“道路照明系统”、“照明单元”、“安装单元”、“中性状态”、“基础近光”的定义。</w:t>
      </w:r>
    </w:p>
    <w:p>
      <w:pPr>
        <w:spacing w:line="400" w:lineRule="exact"/>
        <w:ind w:firstLine="480"/>
        <w:rPr>
          <w:rFonts w:ascii="宋体" w:hAnsi="宋体" w:cs="宋体"/>
          <w:sz w:val="24"/>
        </w:rPr>
      </w:pPr>
      <w:r>
        <w:rPr>
          <w:rFonts w:hint="eastAsia" w:ascii="宋体" w:hAnsi="宋体" w:cs="宋体"/>
          <w:sz w:val="24"/>
        </w:rPr>
        <w:t>增加了“自适应功能”的定义，自适应功能指装置或系统在不同的使用条件下能够自动提供不同特征光束的功能。本标准允许系统或装置存在两套及以上的自适应功能，不同套自适应之间允许手动切换，但是在同一套内，自适应功能必须是自动切换。</w:t>
      </w:r>
    </w:p>
    <w:p>
      <w:pPr>
        <w:spacing w:line="400" w:lineRule="exact"/>
        <w:ind w:firstLine="480"/>
        <w:rPr>
          <w:rFonts w:ascii="宋体" w:hAnsi="宋体" w:cs="宋体"/>
          <w:sz w:val="24"/>
        </w:rPr>
      </w:pPr>
      <w:r>
        <w:rPr>
          <w:rFonts w:hint="eastAsia" w:ascii="宋体" w:hAnsi="宋体" w:cs="宋体"/>
          <w:sz w:val="24"/>
        </w:rPr>
        <w:t>增加了“驾驶员辅助投影”的定义。驾驶员辅助投影指通过对光分布进行调整协助驾驶员进行辅助驾驶的投影。目前包括了示例：路面打滑警告投影、车道保持辅助信号投影、追尾警告信号投影、道路施工现场引导投影等。此功能的开放，为后续车灯的智能化发展提供了一个新方向。</w:t>
      </w:r>
    </w:p>
    <w:p>
      <w:pPr>
        <w:spacing w:line="400" w:lineRule="exact"/>
        <w:ind w:firstLine="480"/>
        <w:rPr>
          <w:sz w:val="24"/>
        </w:rPr>
      </w:pPr>
      <w:r>
        <w:rPr>
          <w:rFonts w:hint="eastAsia"/>
          <w:sz w:val="24"/>
        </w:rPr>
        <w:t>3.</w:t>
      </w:r>
      <w:r>
        <w:rPr>
          <w:sz w:val="24"/>
        </w:rPr>
        <w:t>道路照明装置或系统的型式判定：将不同型式判定和相同型式判定分开进行定义。具体见标准文本4.1和4.2条。</w:t>
      </w:r>
    </w:p>
    <w:p>
      <w:pPr>
        <w:spacing w:line="400" w:lineRule="exact"/>
        <w:ind w:firstLine="480"/>
        <w:rPr>
          <w:sz w:val="24"/>
        </w:rPr>
      </w:pPr>
      <w:r>
        <w:rPr>
          <w:rFonts w:hint="eastAsia"/>
          <w:sz w:val="24"/>
        </w:rPr>
        <w:t>4.</w:t>
      </w:r>
      <w:r>
        <w:rPr>
          <w:sz w:val="24"/>
        </w:rPr>
        <w:t>总体要求： 除了整合前标准要求的“</w:t>
      </w:r>
      <w:r>
        <w:rPr>
          <w:rFonts w:hint="eastAsia" w:ascii="宋体" w:hAnsi="宋体" w:cs="宋体"/>
          <w:sz w:val="24"/>
        </w:rPr>
        <w:t>光束调整装置”、“光束切换装置”、“电压标记”、“基准中心标记”外，本次整合修订增加了“驾驶员辅助标识要求”。基准中心标记，可以在灯体上进行标记，也可在技术图纸上标记。驾驶员辅助标识要求，灯具认证时，应提交标识清单；此功能允许在“近光”或“远光”中使用；辅助标识可以是标识也可以是图案；标识或图案必须为白色</w:t>
      </w:r>
      <w:r>
        <w:rPr>
          <w:sz w:val="24"/>
        </w:rPr>
        <w:t>。定义了驾驶员辅助标识的一般要求。提出在道路中投影的标识或图案，其外边缘到车辆重心轨迹的横向距离不得超过1875mm，规定了在紧急危险信号开启的情况下可以允许闪烁的要求。</w:t>
      </w:r>
    </w:p>
    <w:p>
      <w:pPr>
        <w:spacing w:line="400" w:lineRule="exact"/>
        <w:ind w:firstLine="480"/>
        <w:rPr>
          <w:sz w:val="24"/>
        </w:rPr>
      </w:pPr>
      <w:r>
        <w:rPr>
          <w:rFonts w:hint="eastAsia"/>
          <w:sz w:val="24"/>
        </w:rPr>
        <w:t>5.</w:t>
      </w:r>
      <w:r>
        <w:rPr>
          <w:sz w:val="24"/>
        </w:rPr>
        <w:t>光源要求：定义了可更换光源和不可更换光源的一般要求和使用范围。</w:t>
      </w:r>
    </w:p>
    <w:p>
      <w:pPr>
        <w:spacing w:line="400" w:lineRule="exact"/>
        <w:ind w:firstLine="480"/>
        <w:rPr>
          <w:sz w:val="24"/>
        </w:rPr>
      </w:pPr>
      <w:r>
        <w:rPr>
          <w:rFonts w:hint="eastAsia"/>
          <w:sz w:val="24"/>
        </w:rPr>
        <w:t>6.</w:t>
      </w:r>
      <w:r>
        <w:rPr>
          <w:sz w:val="24"/>
        </w:rPr>
        <w:t>光色要求：前雾灯光色要求调整与GB 4785一致，为白色或选择性黄色。</w:t>
      </w:r>
    </w:p>
    <w:p>
      <w:pPr>
        <w:spacing w:line="400" w:lineRule="exact"/>
        <w:ind w:firstLine="480"/>
        <w:rPr>
          <w:sz w:val="24"/>
        </w:rPr>
      </w:pPr>
      <w:r>
        <w:rPr>
          <w:rFonts w:hint="eastAsia"/>
          <w:sz w:val="24"/>
        </w:rPr>
        <w:t>7.</w:t>
      </w:r>
      <w:r>
        <w:rPr>
          <w:sz w:val="24"/>
        </w:rPr>
        <w:t>配光性能：</w:t>
      </w:r>
    </w:p>
    <w:p>
      <w:pPr>
        <w:spacing w:line="400" w:lineRule="exact"/>
        <w:ind w:firstLine="480"/>
        <w:rPr>
          <w:sz w:val="24"/>
        </w:rPr>
      </w:pPr>
      <w:r>
        <w:rPr>
          <w:sz w:val="24"/>
        </w:rPr>
        <w:t>在起草本标准时，考虑中国国内的技术水平和行业特点，没有完全采用UN R149中的技术路线。在新版国标中，近光功能的配光要求仅包含一个基础近光模式和高速模式（行驶速度</w:t>
      </w:r>
      <w:r>
        <w:rPr>
          <w:color w:val="000000"/>
          <w:sz w:val="24"/>
        </w:rPr>
        <w:t>＞70 km/h时</w:t>
      </w:r>
      <w:r>
        <w:rPr>
          <w:sz w:val="24"/>
        </w:rPr>
        <w:t>）两种配光性能要求，放弃了UN法规中AFS的V级和W级两种光型。</w:t>
      </w:r>
    </w:p>
    <w:p>
      <w:pPr>
        <w:spacing w:line="400" w:lineRule="exact"/>
        <w:ind w:firstLine="480"/>
        <w:rPr>
          <w:sz w:val="24"/>
        </w:rPr>
      </w:pPr>
      <w:r>
        <w:rPr>
          <w:sz w:val="24"/>
        </w:rPr>
        <w:t>使用近光自适应功能时，应能随时手动切换成基础近光模式。</w:t>
      </w:r>
    </w:p>
    <w:p>
      <w:pPr>
        <w:spacing w:line="400" w:lineRule="exact"/>
        <w:ind w:firstLine="480"/>
        <w:rPr>
          <w:sz w:val="24"/>
        </w:rPr>
      </w:pPr>
      <w:r>
        <w:rPr>
          <w:sz w:val="24"/>
        </w:rPr>
        <w:t>近光投影驾驶员辅助标识的规定：</w:t>
      </w:r>
    </w:p>
    <w:p>
      <w:pPr>
        <w:pStyle w:val="19"/>
        <w:numPr>
          <w:ilvl w:val="0"/>
          <w:numId w:val="1"/>
        </w:numPr>
        <w:spacing w:line="400" w:lineRule="exact"/>
        <w:ind w:left="644" w:leftChars="200" w:hanging="224" w:firstLineChars="0"/>
        <w:rPr>
          <w:sz w:val="24"/>
        </w:rPr>
      </w:pPr>
      <w:r>
        <w:rPr>
          <w:sz w:val="24"/>
        </w:rPr>
        <w:t>投影区域范围（水平和垂直角度的限制要求）应满足如下规定：</w:t>
      </w:r>
    </w:p>
    <w:p>
      <w:pPr>
        <w:pStyle w:val="19"/>
        <w:spacing w:line="400" w:lineRule="exact"/>
        <w:ind w:left="644" w:leftChars="200" w:hanging="224" w:firstLineChars="0"/>
        <w:rPr>
          <w:sz w:val="24"/>
        </w:rPr>
      </w:pPr>
      <w:r>
        <w:rPr>
          <w:sz w:val="24"/>
        </w:rPr>
        <w:t>1)垂直：-1°及以下；</w:t>
      </w:r>
    </w:p>
    <w:p>
      <w:pPr>
        <w:pStyle w:val="19"/>
        <w:spacing w:line="400" w:lineRule="exact"/>
        <w:ind w:left="644" w:leftChars="200" w:hanging="224" w:firstLineChars="0"/>
        <w:rPr>
          <w:sz w:val="24"/>
        </w:rPr>
      </w:pPr>
      <w:r>
        <w:rPr>
          <w:sz w:val="24"/>
        </w:rPr>
        <w:t>2)水平：±25°。</w:t>
      </w:r>
    </w:p>
    <w:p>
      <w:pPr>
        <w:pStyle w:val="19"/>
        <w:numPr>
          <w:ilvl w:val="0"/>
          <w:numId w:val="1"/>
        </w:numPr>
        <w:spacing w:line="400" w:lineRule="exact"/>
        <w:ind w:left="644" w:leftChars="200" w:hanging="224" w:firstLineChars="0"/>
        <w:rPr>
          <w:sz w:val="24"/>
        </w:rPr>
      </w:pPr>
      <w:r>
        <w:rPr>
          <w:sz w:val="24"/>
        </w:rPr>
        <w:t>可通过修改上述区域中的光分布来形成驾驶员辅助标识，整个区域中任意一个点的发光强度上限不得超过215000cd。</w:t>
      </w:r>
    </w:p>
    <w:p>
      <w:pPr>
        <w:pStyle w:val="19"/>
        <w:numPr>
          <w:ilvl w:val="0"/>
          <w:numId w:val="1"/>
        </w:numPr>
        <w:spacing w:line="400" w:lineRule="exact"/>
        <w:ind w:left="644" w:leftChars="200" w:hanging="224" w:firstLineChars="0"/>
        <w:rPr>
          <w:sz w:val="24"/>
        </w:rPr>
      </w:pPr>
      <w:r>
        <w:rPr>
          <w:sz w:val="24"/>
        </w:rPr>
        <w:t>投影区域内近光光分布测试点仍应满足其相应的下限值要求，  -1°以上的区域仍应满足配光限值要求。</w:t>
      </w:r>
    </w:p>
    <w:p>
      <w:pPr>
        <w:spacing w:line="400" w:lineRule="exact"/>
        <w:ind w:firstLine="480"/>
        <w:rPr>
          <w:sz w:val="24"/>
        </w:rPr>
      </w:pPr>
      <w:r>
        <w:rPr>
          <w:sz w:val="24"/>
        </w:rPr>
        <w:t>调整了远光配光性能要求，屏幕光型宽度方向有所增加，目前的要求和ECE R149和美标保持一致。</w:t>
      </w:r>
    </w:p>
    <w:p>
      <w:pPr>
        <w:spacing w:line="400" w:lineRule="exact"/>
        <w:ind w:firstLine="480"/>
        <w:rPr>
          <w:sz w:val="24"/>
        </w:rPr>
      </w:pPr>
      <w:r>
        <w:rPr>
          <w:sz w:val="24"/>
        </w:rPr>
        <w:t>远光投影驾驶员辅助标识要求：</w:t>
      </w:r>
    </w:p>
    <w:p>
      <w:pPr>
        <w:pStyle w:val="19"/>
        <w:numPr>
          <w:ilvl w:val="0"/>
          <w:numId w:val="1"/>
        </w:numPr>
        <w:spacing w:line="400" w:lineRule="exact"/>
        <w:ind w:left="644" w:leftChars="200" w:hanging="224" w:firstLineChars="0"/>
        <w:rPr>
          <w:sz w:val="24"/>
        </w:rPr>
      </w:pPr>
      <w:r>
        <w:rPr>
          <w:sz w:val="24"/>
        </w:rPr>
        <w:t>使用远光在道路中投影驾驶员辅助标识，投影区域范围（水平和垂直角度的限制要求）应满足如下规定：</w:t>
      </w:r>
    </w:p>
    <w:p>
      <w:pPr>
        <w:spacing w:line="400" w:lineRule="exact"/>
        <w:ind w:left="420" w:leftChars="200" w:firstLine="1200" w:firstLineChars="500"/>
        <w:rPr>
          <w:sz w:val="24"/>
        </w:rPr>
      </w:pPr>
      <w:r>
        <w:rPr>
          <w:sz w:val="24"/>
        </w:rPr>
        <w:t>1)</w:t>
      </w:r>
      <w:r>
        <w:rPr>
          <w:sz w:val="24"/>
        </w:rPr>
        <w:tab/>
      </w:r>
      <w:r>
        <w:rPr>
          <w:sz w:val="24"/>
        </w:rPr>
        <w:t>垂直：-1°及以下；</w:t>
      </w:r>
    </w:p>
    <w:p>
      <w:pPr>
        <w:spacing w:line="400" w:lineRule="exact"/>
        <w:ind w:left="420" w:leftChars="200" w:firstLine="1200" w:firstLineChars="500"/>
        <w:rPr>
          <w:sz w:val="24"/>
        </w:rPr>
      </w:pPr>
      <w:r>
        <w:rPr>
          <w:sz w:val="24"/>
        </w:rPr>
        <w:t>2)</w:t>
      </w:r>
      <w:r>
        <w:rPr>
          <w:sz w:val="24"/>
        </w:rPr>
        <w:tab/>
      </w:r>
      <w:r>
        <w:rPr>
          <w:sz w:val="24"/>
        </w:rPr>
        <w:t>水平：±25°。</w:t>
      </w:r>
    </w:p>
    <w:p>
      <w:pPr>
        <w:pStyle w:val="19"/>
        <w:numPr>
          <w:ilvl w:val="0"/>
          <w:numId w:val="1"/>
        </w:numPr>
        <w:spacing w:line="400" w:lineRule="exact"/>
        <w:ind w:left="644" w:leftChars="200" w:hanging="224" w:firstLineChars="0"/>
        <w:rPr>
          <w:sz w:val="24"/>
        </w:rPr>
      </w:pPr>
      <w:r>
        <w:rPr>
          <w:sz w:val="24"/>
        </w:rPr>
        <w:t>可通过修改上述区域中的光分布来形成驾驶员辅助标识，整个区域中任意一个点的发光强度不超过215000cd。</w:t>
      </w:r>
    </w:p>
    <w:p>
      <w:pPr>
        <w:spacing w:line="400" w:lineRule="exact"/>
        <w:ind w:firstLine="480"/>
        <w:rPr>
          <w:sz w:val="24"/>
        </w:rPr>
      </w:pPr>
      <w:r>
        <w:rPr>
          <w:sz w:val="24"/>
        </w:rPr>
        <w:t>角灯配光性能中，对安装在车辆左侧的装置测量点的最小发光发光强度调整为：</w:t>
      </w:r>
    </w:p>
    <w:p>
      <w:pPr>
        <w:spacing w:line="400" w:lineRule="exact"/>
        <w:ind w:firstLine="480"/>
        <w:rPr>
          <w:sz w:val="24"/>
        </w:rPr>
      </w:pPr>
      <w:r>
        <w:rPr>
          <w:sz w:val="24"/>
        </w:rPr>
        <w:t>——</w:t>
      </w:r>
      <w:r>
        <w:rPr>
          <w:sz w:val="24"/>
        </w:rPr>
        <w:tab/>
      </w:r>
      <w:r>
        <w:rPr>
          <w:sz w:val="24"/>
        </w:rPr>
        <w:t xml:space="preserve">2.5D — 30L: 375 cd </w:t>
      </w:r>
    </w:p>
    <w:p>
      <w:pPr>
        <w:spacing w:line="400" w:lineRule="exact"/>
        <w:ind w:firstLine="480"/>
        <w:rPr>
          <w:sz w:val="24"/>
        </w:rPr>
      </w:pPr>
      <w:r>
        <w:rPr>
          <w:sz w:val="24"/>
        </w:rPr>
        <w:t>——</w:t>
      </w:r>
      <w:r>
        <w:rPr>
          <w:sz w:val="24"/>
        </w:rPr>
        <w:tab/>
      </w:r>
      <w:r>
        <w:rPr>
          <w:sz w:val="24"/>
        </w:rPr>
        <w:t xml:space="preserve">2.5D — 45L: 625 cd </w:t>
      </w:r>
    </w:p>
    <w:p>
      <w:pPr>
        <w:spacing w:line="400" w:lineRule="exact"/>
        <w:ind w:firstLine="480"/>
        <w:rPr>
          <w:sz w:val="24"/>
        </w:rPr>
      </w:pPr>
      <w:r>
        <w:rPr>
          <w:sz w:val="24"/>
        </w:rPr>
        <w:t>——</w:t>
      </w:r>
      <w:r>
        <w:rPr>
          <w:sz w:val="24"/>
        </w:rPr>
        <w:tab/>
      </w:r>
      <w:r>
        <w:rPr>
          <w:sz w:val="24"/>
        </w:rPr>
        <w:t>2.5D — 60L: 375 cd</w:t>
      </w:r>
    </w:p>
    <w:p>
      <w:pPr>
        <w:spacing w:line="400" w:lineRule="exact"/>
        <w:ind w:firstLine="480"/>
        <w:rPr>
          <w:sz w:val="24"/>
        </w:rPr>
      </w:pPr>
      <w:r>
        <w:rPr>
          <w:sz w:val="24"/>
        </w:rPr>
        <w:t>对于安装在车辆右侧的装置，则将L换成R，其发光强度限制相同。在H-H线向上1°以上的所有最小可见度方向上，其发光强度最大限值为300cd；H-H线向上1°至H-H线之间区域，发光强度最大限值为600cd；H-H线下的区域，发光强度最大限值为14000cd。</w:t>
      </w:r>
    </w:p>
    <w:p>
      <w:pPr>
        <w:spacing w:line="400" w:lineRule="exact"/>
        <w:ind w:firstLine="480"/>
        <w:rPr>
          <w:sz w:val="24"/>
        </w:rPr>
      </w:pPr>
      <w:r>
        <w:rPr>
          <w:sz w:val="24"/>
        </w:rPr>
        <w:t>8.装置或系统的配光性能稳定性：按GB/T 1.1—2020的要求进行了格式调整。</w:t>
      </w:r>
    </w:p>
    <w:p>
      <w:pPr>
        <w:spacing w:line="400" w:lineRule="exact"/>
        <w:ind w:firstLine="480"/>
        <w:rPr>
          <w:sz w:val="24"/>
        </w:rPr>
      </w:pPr>
      <w:r>
        <w:rPr>
          <w:rFonts w:hint="eastAsia"/>
          <w:sz w:val="24"/>
        </w:rPr>
        <w:t>9.</w:t>
      </w:r>
      <w:r>
        <w:rPr>
          <w:sz w:val="24"/>
        </w:rPr>
        <w:t>装用 LED 光源、LED 模块的装置或系统（角灯除外）的要求</w:t>
      </w:r>
      <w:r>
        <w:rPr>
          <w:rFonts w:hint="eastAsia"/>
          <w:sz w:val="24"/>
        </w:rPr>
        <w:t>：</w:t>
      </w:r>
    </w:p>
    <w:p>
      <w:pPr>
        <w:pStyle w:val="19"/>
        <w:numPr>
          <w:ilvl w:val="0"/>
          <w:numId w:val="2"/>
        </w:numPr>
        <w:spacing w:line="400" w:lineRule="exact"/>
        <w:ind w:hanging="660" w:firstLineChars="0"/>
        <w:rPr>
          <w:sz w:val="24"/>
        </w:rPr>
      </w:pPr>
      <w:r>
        <w:rPr>
          <w:sz w:val="24"/>
        </w:rPr>
        <w:t>按GB/T 1.1—2020的要求进行了格式调整。</w:t>
      </w:r>
    </w:p>
    <w:p>
      <w:pPr>
        <w:pStyle w:val="19"/>
        <w:numPr>
          <w:ilvl w:val="0"/>
          <w:numId w:val="2"/>
        </w:numPr>
        <w:spacing w:line="400" w:lineRule="exact"/>
        <w:ind w:hanging="660" w:firstLineChars="0"/>
        <w:rPr>
          <w:sz w:val="24"/>
        </w:rPr>
      </w:pPr>
      <w:r>
        <w:rPr>
          <w:sz w:val="24"/>
        </w:rPr>
        <w:t>明确了各个功能光色和光强温度稳定性测试点，见表15。</w:t>
      </w:r>
    </w:p>
    <w:p>
      <w:pPr>
        <w:spacing w:line="400" w:lineRule="exact"/>
        <w:ind w:firstLine="480"/>
        <w:rPr>
          <w:sz w:val="24"/>
        </w:rPr>
      </w:pPr>
      <w:r>
        <w:rPr>
          <w:rFonts w:hint="eastAsia"/>
          <w:sz w:val="24"/>
        </w:rPr>
        <w:t>10.</w:t>
      </w:r>
      <w:r>
        <w:rPr>
          <w:sz w:val="24"/>
        </w:rPr>
        <w:t>装用塑料配光镜装置的材料试验和整灯试验</w:t>
      </w:r>
    </w:p>
    <w:p>
      <w:pPr>
        <w:pStyle w:val="19"/>
        <w:numPr>
          <w:ilvl w:val="0"/>
          <w:numId w:val="3"/>
        </w:numPr>
        <w:spacing w:line="400" w:lineRule="exact"/>
        <w:ind w:hanging="664" w:firstLineChars="0"/>
        <w:rPr>
          <w:sz w:val="24"/>
        </w:rPr>
      </w:pPr>
      <w:r>
        <w:rPr>
          <w:sz w:val="24"/>
        </w:rPr>
        <w:t>按GB/T 1.1—2020的要求进行了格式调整。</w:t>
      </w:r>
    </w:p>
    <w:p>
      <w:pPr>
        <w:pStyle w:val="19"/>
        <w:numPr>
          <w:ilvl w:val="0"/>
          <w:numId w:val="3"/>
        </w:numPr>
        <w:spacing w:line="400" w:lineRule="exact"/>
        <w:ind w:hanging="664" w:firstLineChars="0"/>
        <w:rPr>
          <w:sz w:val="24"/>
        </w:rPr>
      </w:pPr>
      <w:r>
        <w:rPr>
          <w:sz w:val="24"/>
        </w:rPr>
        <w:t>调整了耐温试验、机械磨损试验要求，明确了进行配光复测的测试点。</w:t>
      </w:r>
    </w:p>
    <w:p>
      <w:pPr>
        <w:spacing w:line="400" w:lineRule="exact"/>
        <w:ind w:firstLine="480"/>
        <w:rPr>
          <w:sz w:val="24"/>
        </w:rPr>
      </w:pPr>
      <w:r>
        <w:rPr>
          <w:rFonts w:hint="eastAsia"/>
          <w:sz w:val="24"/>
        </w:rPr>
        <w:t>11.</w:t>
      </w:r>
      <w:r>
        <w:rPr>
          <w:sz w:val="24"/>
        </w:rPr>
        <w:t>试验要求及方法</w:t>
      </w:r>
      <w:r>
        <w:rPr>
          <w:rFonts w:hint="eastAsia"/>
          <w:sz w:val="24"/>
        </w:rPr>
        <w:t>：</w:t>
      </w:r>
    </w:p>
    <w:p>
      <w:pPr>
        <w:pStyle w:val="19"/>
        <w:numPr>
          <w:ilvl w:val="0"/>
          <w:numId w:val="4"/>
        </w:numPr>
        <w:ind w:hanging="664" w:firstLineChars="0"/>
        <w:rPr>
          <w:sz w:val="24"/>
        </w:rPr>
      </w:pPr>
      <w:r>
        <w:rPr>
          <w:sz w:val="24"/>
        </w:rPr>
        <w:t>按GB/T 1.1—2020的要求进行了格式调整。</w:t>
      </w:r>
    </w:p>
    <w:p>
      <w:pPr>
        <w:pStyle w:val="19"/>
        <w:numPr>
          <w:ilvl w:val="0"/>
          <w:numId w:val="4"/>
        </w:numPr>
        <w:ind w:hanging="664" w:firstLineChars="0"/>
        <w:rPr>
          <w:sz w:val="24"/>
        </w:rPr>
      </w:pPr>
      <w:r>
        <w:rPr>
          <w:sz w:val="24"/>
        </w:rPr>
        <w:t>调整了不同类型光源的点亮要求，具体见12.2.8条。</w:t>
      </w:r>
    </w:p>
    <w:p>
      <w:pPr>
        <w:pStyle w:val="19"/>
        <w:numPr>
          <w:ilvl w:val="0"/>
          <w:numId w:val="4"/>
        </w:numPr>
        <w:ind w:hanging="664" w:firstLineChars="0"/>
        <w:rPr>
          <w:sz w:val="24"/>
        </w:rPr>
      </w:pPr>
      <w:r>
        <w:rPr>
          <w:sz w:val="24"/>
        </w:rPr>
        <w:t>调整了各照明功能重新照准的公差和相关要求。</w:t>
      </w:r>
    </w:p>
    <w:p>
      <w:pPr>
        <w:spacing w:line="400" w:lineRule="exact"/>
        <w:ind w:firstLine="480"/>
        <w:rPr>
          <w:sz w:val="24"/>
        </w:rPr>
      </w:pPr>
      <w:r>
        <w:rPr>
          <w:rFonts w:hint="eastAsia"/>
          <w:sz w:val="24"/>
        </w:rPr>
        <w:t>12.</w:t>
      </w:r>
      <w:r>
        <w:rPr>
          <w:sz w:val="24"/>
        </w:rPr>
        <w:t>检验规则</w:t>
      </w:r>
      <w:r>
        <w:rPr>
          <w:rFonts w:hint="eastAsia"/>
          <w:sz w:val="24"/>
        </w:rPr>
        <w:t>：</w:t>
      </w:r>
    </w:p>
    <w:p>
      <w:pPr>
        <w:spacing w:line="400" w:lineRule="exact"/>
        <w:ind w:firstLine="420" w:firstLineChars="0"/>
        <w:rPr>
          <w:sz w:val="24"/>
        </w:rPr>
      </w:pPr>
      <w:r>
        <w:rPr>
          <w:sz w:val="24"/>
        </w:rPr>
        <w:t xml:space="preserve">    整合了所有照明功能型式检验的要求和生产一致性检验的要求，具体见13.1和13.2条。</w:t>
      </w:r>
    </w:p>
    <w:p>
      <w:pPr>
        <w:spacing w:line="400" w:lineRule="exact"/>
        <w:ind w:firstLine="480"/>
        <w:rPr>
          <w:sz w:val="24"/>
        </w:rPr>
      </w:pPr>
      <w:r>
        <w:rPr>
          <w:rFonts w:hint="eastAsia"/>
          <w:sz w:val="24"/>
        </w:rPr>
        <w:t>13.</w:t>
      </w:r>
      <w:r>
        <w:rPr>
          <w:sz w:val="24"/>
        </w:rPr>
        <w:t>过渡期要求</w:t>
      </w:r>
    </w:p>
    <w:p>
      <w:pPr>
        <w:spacing w:line="400" w:lineRule="exact"/>
        <w:ind w:firstLine="480"/>
        <w:rPr>
          <w:sz w:val="24"/>
        </w:rPr>
      </w:pPr>
      <w:r>
        <w:rPr>
          <w:sz w:val="24"/>
        </w:rPr>
        <w:t>对于新申请型式批准的汽车道路照明装置及系统，自本标准实施之日起开始执行。</w:t>
      </w:r>
    </w:p>
    <w:p>
      <w:pPr>
        <w:spacing w:line="400" w:lineRule="exact"/>
        <w:ind w:firstLine="480"/>
        <w:rPr>
          <w:sz w:val="24"/>
        </w:rPr>
      </w:pPr>
      <w:r>
        <w:rPr>
          <w:sz w:val="24"/>
        </w:rPr>
        <w:t>对于新申请型式批准的车型，自实施之日起第13个月执行。</w:t>
      </w:r>
    </w:p>
    <w:p>
      <w:pPr>
        <w:spacing w:line="400" w:lineRule="exact"/>
        <w:ind w:firstLine="480"/>
        <w:rPr>
          <w:sz w:val="24"/>
        </w:rPr>
      </w:pPr>
      <w:r>
        <w:rPr>
          <w:sz w:val="24"/>
        </w:rPr>
        <w:t>对于已获通过型式检验的汽车道路照明装置及系统和已获得型式批准的车型本给予直至停产的过渡期。</w:t>
      </w:r>
    </w:p>
    <w:p>
      <w:pPr>
        <w:autoSpaceDE w:val="0"/>
        <w:autoSpaceDN w:val="0"/>
        <w:adjustRightInd w:val="0"/>
        <w:spacing w:line="400" w:lineRule="exact"/>
        <w:ind w:firstLine="422"/>
        <w:jc w:val="left"/>
        <w:outlineLvl w:val="0"/>
        <w:rPr>
          <w:b/>
          <w:szCs w:val="21"/>
        </w:rPr>
      </w:pPr>
      <w:r>
        <w:rPr>
          <w:b/>
          <w:szCs w:val="21"/>
        </w:rPr>
        <w:t>4、试验验证情况</w:t>
      </w:r>
    </w:p>
    <w:p>
      <w:pPr>
        <w:pStyle w:val="19"/>
        <w:spacing w:line="400" w:lineRule="exact"/>
        <w:ind w:firstLine="480"/>
        <w:rPr>
          <w:sz w:val="24"/>
        </w:rPr>
      </w:pPr>
      <w:r>
        <w:rPr>
          <w:sz w:val="24"/>
        </w:rPr>
        <w:t>天津中心负责近光（含AFS），角灯和远光配光试验；上海中心负责远光（含ADB）、AFS配光试验；常州星宇负责远光（含ADB）配光试验；华域视觉负责前照明投射符号验证；海拉负责AFS配光验证；法雷奥负责AFS配光验证</w:t>
      </w:r>
      <w:r>
        <w:rPr>
          <w:rFonts w:hint="eastAsia"/>
          <w:sz w:val="24"/>
        </w:rPr>
        <w:t>。</w:t>
      </w:r>
      <w:r>
        <w:rPr>
          <w:sz w:val="24"/>
        </w:rPr>
        <w:t>以上所有验证工作在各公司试验室进行，出具试验报告和试验照片（参考附件）。以上各家公司均验证本标准具有可操作性，标准指标制定科学合理。</w:t>
      </w:r>
    </w:p>
    <w:p>
      <w:pPr>
        <w:autoSpaceDE w:val="0"/>
        <w:autoSpaceDN w:val="0"/>
        <w:adjustRightInd w:val="0"/>
        <w:spacing w:line="400" w:lineRule="exact"/>
        <w:ind w:firstLine="480"/>
        <w:jc w:val="left"/>
        <w:outlineLvl w:val="0"/>
        <w:rPr>
          <w:rFonts w:eastAsia="黑体"/>
          <w:bCs/>
          <w:color w:val="000000"/>
          <w:kern w:val="0"/>
          <w:sz w:val="24"/>
        </w:rPr>
      </w:pPr>
      <w:bookmarkStart w:id="21" w:name="_Toc64898477"/>
      <w:r>
        <w:rPr>
          <w:rFonts w:eastAsia="黑体"/>
          <w:bCs/>
          <w:color w:val="000000"/>
          <w:kern w:val="0"/>
          <w:sz w:val="24"/>
        </w:rPr>
        <w:t>三、与有关法律、行政法规和其他标准的关系</w:t>
      </w:r>
      <w:bookmarkEnd w:id="21"/>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标准是我国汽车主动安全标准的重要内容之一，是贯彻落实中华人民共和国工业和信息化部令第50号《道路机动车辆生产企业及产品准入管理办法》和中华人民共和国工业和信息化部公告2019年第1号《道路机动车辆生产企业准入审查要求和道路机动车辆产品准入审查要求》等法规、政策的重要配套标准。本标准与GB 4785-2019《汽车及挂车外部照明和光信号装置的安装规定》标准构成了汽车灯光标准体系的组成部分。与现行相关法律、法规、规章及相关标准没有冲突或矛盾。</w:t>
      </w:r>
      <w:bookmarkStart w:id="22" w:name="_Toc64898478"/>
    </w:p>
    <w:p>
      <w:pPr>
        <w:autoSpaceDE w:val="0"/>
        <w:autoSpaceDN w:val="0"/>
        <w:adjustRightInd w:val="0"/>
        <w:spacing w:line="400" w:lineRule="exact"/>
        <w:ind w:firstLine="480"/>
        <w:jc w:val="left"/>
        <w:outlineLvl w:val="0"/>
        <w:rPr>
          <w:rFonts w:eastAsia="黑体"/>
          <w:bCs/>
          <w:color w:val="000000"/>
          <w:kern w:val="0"/>
          <w:sz w:val="24"/>
        </w:rPr>
      </w:pPr>
      <w:r>
        <w:rPr>
          <w:rFonts w:eastAsia="黑体"/>
          <w:bCs/>
          <w:color w:val="000000"/>
          <w:kern w:val="0"/>
          <w:sz w:val="24"/>
        </w:rPr>
        <w:t>四、与国际标准化组织、其他国家或者地区有关法律法规和标准的比对分析</w:t>
      </w:r>
      <w:bookmarkEnd w:id="22"/>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本标准对应于联合国法规UN Regulation No.149《机动车辆道路照明装置和系统》主要技术内容差异如下：</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1、UN Regulation No.149适用范围于L、M、N和T类车辆使用的远光前照灯、非对称近光前照灯；M和N类车辆的自适应前照明系统；L和T类车辆使用远光前照灯、对称近光前照灯；L3、L4、L5、L7、M、N和T类车辆的前雾灯；M、N和T类车辆的角灯。本标准的适用范围未包含L类车辆装备的道路照明装置及系统（前雾灯除外，详见本文件第十二条的说明）。</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2、本标准增加了“驾驶员辅助标识要求”的相关条款，现行UN Regulation No.149文本中尚未涉及。</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3、UN Regulation No.149中的非自适应状态下的远光配光性能要求为A级、B级和D级，测试点和测试区域根据不同等级分别提出要求，本标准简化了远光配光要求。</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4、UN Regulation No.149中仍保留自适应近光（AFS）的C、E、V、W等模式，并提出相应的配光性能要求。本标准结合中国实际道路交通情况，简化了自适应近光功能的要求，仅保留基础近光模式（对应R149中的C模式）和自适应功能模式，自适应功能状态下可以满足基础近光的配光性能要求即本标准中表1的相关要求，而当行驶速度大于70km/h时，如不能满足基础近光的配光性能要求，则也可以满足标准文本中表2的相关要求（对应UN Regulation No.149中的E模式）。</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5、UN Regulation No.149中对非自适应状态下的远光配光性能要求分为</w:t>
      </w:r>
      <w:bookmarkStart w:id="23" w:name="OLE_LINK27"/>
      <w:r>
        <w:rPr>
          <w:bCs/>
          <w:color w:val="000000"/>
          <w:kern w:val="0"/>
          <w:sz w:val="24"/>
        </w:rPr>
        <w:t>A级、B级和D级，</w:t>
      </w:r>
      <w:bookmarkEnd w:id="23"/>
      <w:r>
        <w:rPr>
          <w:bCs/>
          <w:color w:val="000000"/>
          <w:kern w:val="0"/>
          <w:sz w:val="24"/>
        </w:rPr>
        <w:t>保留了AFS中的R级要求和ADB系统的相关要求。本标准只保留了中性状态下的远光及自适应状态下（ADB）的远光要求。</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6、本标准中对角灯配光性能的要求与UN Regulation No.149现行文本有所不同，参考文件为GTB及SLR相关提案。</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7、UN Regulation No.149中包含了不同道路交通条件下近光灯的旅行者模式相关要求，即对于仅设计为满足在道路一侧（左右两侧）行驶的交通要求的灯具，应采取适当措施以防止在道路一侧行驶的国家中的道路使用者感到不适与设计前照灯的国家相反。同时对于与原始交通方向相比，提出近光发光强度要求。为右行交通设计的近光灯，在左行交通中应满足：在0.86D-1.72L最小2500cd；在0.57U-3.43R不能超过880cd。</w:t>
      </w:r>
    </w:p>
    <w:p>
      <w:pPr>
        <w:autoSpaceDE w:val="0"/>
        <w:autoSpaceDN w:val="0"/>
        <w:adjustRightInd w:val="0"/>
        <w:spacing w:line="400" w:lineRule="exact"/>
        <w:ind w:firstLine="480"/>
        <w:jc w:val="left"/>
        <w:outlineLvl w:val="0"/>
        <w:rPr>
          <w:rFonts w:eastAsia="黑体"/>
          <w:bCs/>
          <w:color w:val="000000"/>
          <w:kern w:val="0"/>
          <w:sz w:val="24"/>
        </w:rPr>
      </w:pPr>
      <w:bookmarkStart w:id="24" w:name="_Toc64898479"/>
      <w:r>
        <w:rPr>
          <w:rFonts w:eastAsia="黑体"/>
          <w:bCs/>
          <w:color w:val="000000"/>
          <w:kern w:val="0"/>
          <w:sz w:val="24"/>
        </w:rPr>
        <w:t>五、重大分歧意见的处理过程、处理意见及其依据</w:t>
      </w:r>
      <w:bookmarkEnd w:id="24"/>
    </w:p>
    <w:p>
      <w:pPr>
        <w:pStyle w:val="19"/>
        <w:ind w:firstLine="480"/>
        <w:rPr>
          <w:bCs/>
          <w:color w:val="000000"/>
          <w:kern w:val="0"/>
          <w:sz w:val="24"/>
        </w:rPr>
      </w:pPr>
      <w:r>
        <w:rPr>
          <w:bCs/>
          <w:color w:val="000000"/>
          <w:kern w:val="0"/>
          <w:sz w:val="24"/>
        </w:rPr>
        <w:t>无。</w:t>
      </w:r>
    </w:p>
    <w:p>
      <w:pPr>
        <w:autoSpaceDE w:val="0"/>
        <w:autoSpaceDN w:val="0"/>
        <w:adjustRightInd w:val="0"/>
        <w:spacing w:line="400" w:lineRule="exact"/>
        <w:ind w:firstLine="480"/>
        <w:jc w:val="left"/>
        <w:outlineLvl w:val="0"/>
        <w:rPr>
          <w:rFonts w:eastAsia="黑体"/>
          <w:bCs/>
          <w:color w:val="000000"/>
          <w:kern w:val="0"/>
          <w:sz w:val="24"/>
        </w:rPr>
      </w:pPr>
      <w:bookmarkStart w:id="25" w:name="_Toc64898480"/>
      <w:r>
        <w:rPr>
          <w:rFonts w:eastAsia="黑体"/>
          <w:bCs/>
          <w:color w:val="000000"/>
          <w:kern w:val="0"/>
          <w:sz w:val="24"/>
        </w:rPr>
        <w:t>六、对强制性国家标准自发布日期至实施日期之间的过渡期的建议及理由</w:t>
      </w:r>
      <w:bookmarkEnd w:id="25"/>
    </w:p>
    <w:p>
      <w:pPr>
        <w:spacing w:line="400" w:lineRule="exact"/>
        <w:ind w:firstLine="480"/>
        <w:rPr>
          <w:sz w:val="24"/>
        </w:rPr>
      </w:pPr>
      <w:r>
        <w:rPr>
          <w:sz w:val="24"/>
        </w:rPr>
        <w:t>本标准与替代标准存在较大差异，建议设置一定过渡期要求。</w:t>
      </w:r>
    </w:p>
    <w:p>
      <w:pPr>
        <w:spacing w:line="400" w:lineRule="exact"/>
        <w:ind w:firstLine="480"/>
        <w:rPr>
          <w:sz w:val="24"/>
        </w:rPr>
      </w:pPr>
      <w:r>
        <w:rPr>
          <w:bCs/>
          <w:color w:val="000000"/>
          <w:kern w:val="0"/>
          <w:sz w:val="24"/>
        </w:rPr>
        <w:t>自发布日期至实施日期之间的过渡期的建议</w:t>
      </w:r>
      <w:r>
        <w:rPr>
          <w:sz w:val="24"/>
        </w:rPr>
        <w:t>如下：</w:t>
      </w:r>
    </w:p>
    <w:p>
      <w:pPr>
        <w:spacing w:line="400" w:lineRule="exact"/>
        <w:ind w:firstLine="480"/>
        <w:rPr>
          <w:rFonts w:hint="eastAsia"/>
          <w:sz w:val="24"/>
        </w:rPr>
      </w:pPr>
      <w:r>
        <w:rPr>
          <w:rFonts w:hint="eastAsia"/>
          <w:sz w:val="24"/>
        </w:rPr>
        <w:t>（1）对于新申请型式批准的汽车道路照明装置及系统，自本文件实施之日起开始执行；</w:t>
      </w:r>
    </w:p>
    <w:p>
      <w:pPr>
        <w:spacing w:line="400" w:lineRule="exact"/>
        <w:ind w:firstLine="480"/>
        <w:rPr>
          <w:rFonts w:hint="eastAsia"/>
          <w:sz w:val="24"/>
        </w:rPr>
      </w:pPr>
      <w:r>
        <w:rPr>
          <w:rFonts w:hint="eastAsia"/>
          <w:sz w:val="24"/>
        </w:rPr>
        <w:t>（2）对于新申请型式批准的车型，自本文件实施之日起第13个月开始执行；</w:t>
      </w:r>
    </w:p>
    <w:p>
      <w:pPr>
        <w:spacing w:line="400" w:lineRule="exact"/>
        <w:ind w:firstLine="480"/>
        <w:rPr>
          <w:sz w:val="24"/>
        </w:rPr>
      </w:pPr>
      <w:r>
        <w:rPr>
          <w:rFonts w:hint="eastAsia"/>
          <w:sz w:val="24"/>
        </w:rPr>
        <w:t>（3）对于已获通过型式检验的汽车道路照明装置及系统和已获得型式批准的车型，给予直至停产的过渡期。</w:t>
      </w:r>
    </w:p>
    <w:p>
      <w:pPr>
        <w:autoSpaceDE w:val="0"/>
        <w:autoSpaceDN w:val="0"/>
        <w:adjustRightInd w:val="0"/>
        <w:spacing w:line="400" w:lineRule="exact"/>
        <w:ind w:firstLine="480"/>
        <w:jc w:val="left"/>
        <w:outlineLvl w:val="0"/>
        <w:rPr>
          <w:rFonts w:eastAsia="黑体"/>
          <w:bCs/>
          <w:color w:val="000000"/>
          <w:kern w:val="0"/>
          <w:sz w:val="24"/>
        </w:rPr>
      </w:pPr>
      <w:bookmarkStart w:id="26" w:name="_Toc64898481"/>
      <w:r>
        <w:rPr>
          <w:rFonts w:eastAsia="黑体"/>
          <w:bCs/>
          <w:color w:val="000000"/>
          <w:kern w:val="0"/>
          <w:sz w:val="24"/>
        </w:rPr>
        <w:t>七、与实施强制性国家标准有关的政策措施</w:t>
      </w:r>
      <w:bookmarkEnd w:id="26"/>
    </w:p>
    <w:p>
      <w:pPr>
        <w:spacing w:line="400" w:lineRule="exact"/>
        <w:ind w:firstLine="480"/>
        <w:rPr>
          <w:sz w:val="24"/>
        </w:rPr>
      </w:pPr>
      <w:r>
        <w:rPr>
          <w:sz w:val="24"/>
        </w:rPr>
        <w:t>本标准的实施监督管理部门为中华人民共和国工业和信息化部。</w:t>
      </w:r>
    </w:p>
    <w:p>
      <w:pPr>
        <w:spacing w:line="400" w:lineRule="exact"/>
        <w:ind w:firstLine="480"/>
        <w:rPr>
          <w:sz w:val="24"/>
        </w:rPr>
      </w:pPr>
      <w:r>
        <w:rPr>
          <w:sz w:val="24"/>
        </w:rPr>
        <w:t>工业和信息化部发布了《道路机动车辆生产企业及产品准入管理办法》（工业和信息化部令第50号），通过《道路机动车辆生产企业及产品公告》对道路机动车辆生产企业及产品进行准入管理。本强制性国家标准将纳入该管理体系，由国家工业和信息化部依据本标准对相关产品进行准入管理，并依法对违反强制性国家标准的行为进行处理。</w:t>
      </w:r>
    </w:p>
    <w:p>
      <w:pPr>
        <w:spacing w:line="400" w:lineRule="exact"/>
        <w:ind w:firstLine="480"/>
        <w:rPr>
          <w:rFonts w:hint="eastAsia" w:ascii="宋体" w:hAnsi="宋体" w:cs="宋体"/>
          <w:sz w:val="24"/>
        </w:rPr>
      </w:pPr>
      <w:r>
        <w:rPr>
          <w:sz w:val="24"/>
        </w:rPr>
        <w:t>《中华人民共和国标准化法》第二十</w:t>
      </w:r>
      <w:r>
        <w:rPr>
          <w:rFonts w:hint="eastAsia" w:ascii="宋体" w:hAnsi="宋体" w:cs="宋体"/>
          <w:sz w:val="24"/>
        </w:rPr>
        <w:t>五条规定“不符合强制性标准的产品、服务，不得生产、销售、进口或者提供”；第三十六条规定“生产、销售、进口产品或者提供服务不符合强制性标准，或者企业生产的产品、提供的服务不符合其公开标准的技术要求的，依法承担民事责任”。</w:t>
      </w:r>
    </w:p>
    <w:p>
      <w:pPr>
        <w:spacing w:line="400" w:lineRule="exact"/>
        <w:ind w:firstLine="480"/>
        <w:rPr>
          <w:rFonts w:hint="eastAsia" w:ascii="宋体" w:hAnsi="宋体" w:cs="宋体"/>
          <w:sz w:val="24"/>
        </w:rPr>
      </w:pPr>
      <w:r>
        <w:rPr>
          <w:sz w:val="24"/>
        </w:rPr>
        <w:t>《中华人民共和国产品质量法》第十三条明确规</w:t>
      </w:r>
      <w:r>
        <w:rPr>
          <w:rFonts w:hint="eastAsia" w:ascii="宋体" w:hAnsi="宋体" w:cs="宋体"/>
          <w:sz w:val="24"/>
        </w:rPr>
        <w:t>定，“可能危及人体健康和人身、财产安全的工业产品，必须符合保障人体健康和人身、财产安全的国家标准、行业标准”。</w:t>
      </w:r>
    </w:p>
    <w:p>
      <w:pPr>
        <w:spacing w:line="400" w:lineRule="exact"/>
        <w:ind w:firstLine="480"/>
        <w:rPr>
          <w:sz w:val="24"/>
        </w:rPr>
      </w:pPr>
      <w:r>
        <w:rPr>
          <w:sz w:val="24"/>
        </w:rPr>
        <w:t>工信部发布的《车辆生产企业及产品生产一致性监督管理办法》中也明确提出</w:t>
      </w:r>
      <w:r>
        <w:rPr>
          <w:rFonts w:hint="eastAsia" w:ascii="宋体" w:hAnsi="宋体" w:cs="宋体"/>
          <w:sz w:val="24"/>
        </w:rPr>
        <w:t>，“工业和信息化部通过生产一致性监督检查，确认车辆生产企业生产和销售的产品是否符合一致性要求，是否符合国家政策和管理规定以及强制性标准、法规要求”。</w:t>
      </w:r>
    </w:p>
    <w:p>
      <w:pPr>
        <w:autoSpaceDE w:val="0"/>
        <w:autoSpaceDN w:val="0"/>
        <w:adjustRightInd w:val="0"/>
        <w:spacing w:line="400" w:lineRule="exact"/>
        <w:ind w:firstLine="480"/>
        <w:jc w:val="left"/>
        <w:outlineLvl w:val="0"/>
        <w:rPr>
          <w:rFonts w:eastAsia="黑体"/>
          <w:bCs/>
          <w:color w:val="000000"/>
          <w:kern w:val="0"/>
          <w:sz w:val="24"/>
        </w:rPr>
      </w:pPr>
      <w:bookmarkStart w:id="27" w:name="_Toc64898482"/>
      <w:r>
        <w:rPr>
          <w:rFonts w:eastAsia="黑体"/>
          <w:bCs/>
          <w:color w:val="000000"/>
          <w:kern w:val="0"/>
          <w:sz w:val="24"/>
        </w:rPr>
        <w:t>八、是否需要对外通报的建议及理由</w:t>
      </w:r>
      <w:bookmarkEnd w:id="27"/>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本标准规定了汽车道路照明装置及系统的术语和定义、要求、试验方法和检验规则等。适用于M、N类汽车使用的近光前照灯、远光前照灯、自适应性前照明系统、前雾灯、角灯等道路照明装置及系统。</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本标准部分技术条款与国际标准或者与有关国际标准技术要求不完全一致，且本标准涉及人身健康和生命财产安全，依据《强制性国家标准管理办法》与世界贸易组织的要求，需要进行WTO/TBT通报。</w:t>
      </w:r>
    </w:p>
    <w:p>
      <w:pPr>
        <w:autoSpaceDE w:val="0"/>
        <w:autoSpaceDN w:val="0"/>
        <w:adjustRightInd w:val="0"/>
        <w:spacing w:line="400" w:lineRule="exact"/>
        <w:ind w:firstLine="480"/>
        <w:jc w:val="left"/>
        <w:outlineLvl w:val="0"/>
        <w:rPr>
          <w:rFonts w:eastAsia="黑体"/>
          <w:bCs/>
          <w:color w:val="000000"/>
          <w:kern w:val="0"/>
          <w:sz w:val="24"/>
        </w:rPr>
      </w:pPr>
      <w:bookmarkStart w:id="28" w:name="_Toc64898483"/>
      <w:r>
        <w:rPr>
          <w:rFonts w:eastAsia="黑体"/>
          <w:bCs/>
          <w:color w:val="000000"/>
          <w:kern w:val="0"/>
          <w:sz w:val="24"/>
        </w:rPr>
        <w:t>九、废止现行有关标准的建议</w:t>
      </w:r>
      <w:bookmarkEnd w:id="28"/>
    </w:p>
    <w:p>
      <w:pPr>
        <w:autoSpaceDE w:val="0"/>
        <w:autoSpaceDN w:val="0"/>
        <w:adjustRightInd w:val="0"/>
        <w:spacing w:line="400" w:lineRule="exact"/>
        <w:ind w:firstLine="480"/>
        <w:jc w:val="left"/>
        <w:outlineLvl w:val="0"/>
        <w:rPr>
          <w:bCs/>
          <w:color w:val="000000"/>
          <w:kern w:val="0"/>
          <w:sz w:val="24"/>
        </w:rPr>
      </w:pPr>
      <w:r>
        <w:rPr>
          <w:bCs/>
          <w:color w:val="000000"/>
          <w:kern w:val="0"/>
          <w:sz w:val="24"/>
        </w:rPr>
        <w:t>该强制性标准发布实施后，代替原来的GB 4599-2007《汽车用灯丝灯泡前照灯》、GB 4660-2016《机动车用前雾灯配光性能》、GB 21259-2007《汽车用气体放电光源前照灯》、GB 25991-2010《汽车用LED前照灯》、GB/T 30036-2013《汽车用自适应前照明系统》、GB/T 30511-2014《汽车用角灯配光性能》。</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本标准发布之日起第19个月后，GB 4599-2007《汽车用灯丝灯泡前照灯》、GB 4660-2016《机动车用前雾灯配光性能》、GB 21259-2007《汽车用气体放电光源前照灯》、GB 25991-2010《汽车用LED前照灯》、GB/T 30036-2013《汽车用自适应前照明系统》、GB/T 30511-2014《汽车用角灯配光性能》作废。</w:t>
      </w:r>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本标准实施之日起，GB 4599-2007《汽车用灯丝灯泡前照灯》、GB 4660-2016《机动车用前雾灯配光性能》、GB 21259-2007《汽车用气体放电光源前照灯》、GB 25991-2010《汽车用LED前照灯》、GB/T 30036-2013《汽车用自适应前照明系统》、GB/T 30511-2014《汽车用角灯配光性能》作废。</w:t>
      </w:r>
    </w:p>
    <w:p>
      <w:pPr>
        <w:autoSpaceDE w:val="0"/>
        <w:autoSpaceDN w:val="0"/>
        <w:adjustRightInd w:val="0"/>
        <w:spacing w:line="400" w:lineRule="exact"/>
        <w:ind w:firstLine="480"/>
        <w:jc w:val="left"/>
        <w:outlineLvl w:val="0"/>
        <w:rPr>
          <w:rFonts w:eastAsia="黑体"/>
          <w:bCs/>
          <w:color w:val="000000"/>
          <w:kern w:val="0"/>
          <w:sz w:val="24"/>
        </w:rPr>
      </w:pPr>
      <w:bookmarkStart w:id="29" w:name="_Toc64898484"/>
      <w:r>
        <w:rPr>
          <w:rFonts w:eastAsia="黑体"/>
          <w:bCs/>
          <w:color w:val="000000"/>
          <w:kern w:val="0"/>
          <w:sz w:val="24"/>
        </w:rPr>
        <w:t>十、涉及专利的有关说明</w:t>
      </w:r>
      <w:bookmarkEnd w:id="29"/>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本文件目前未涉及专利的情况，将在征求意见稿封面位置注明“在提交反馈意见时，请将您知道的相关专利连同支持性文件一并附上”。</w:t>
      </w:r>
    </w:p>
    <w:p>
      <w:pPr>
        <w:autoSpaceDE w:val="0"/>
        <w:autoSpaceDN w:val="0"/>
        <w:adjustRightInd w:val="0"/>
        <w:spacing w:line="400" w:lineRule="exact"/>
        <w:ind w:firstLine="480"/>
        <w:jc w:val="left"/>
        <w:outlineLvl w:val="0"/>
        <w:rPr>
          <w:rFonts w:eastAsia="黑体"/>
          <w:bCs/>
          <w:color w:val="000000"/>
          <w:kern w:val="0"/>
          <w:sz w:val="24"/>
        </w:rPr>
      </w:pPr>
      <w:bookmarkStart w:id="30" w:name="_Toc64898485"/>
      <w:r>
        <w:rPr>
          <w:rFonts w:eastAsia="黑体"/>
          <w:bCs/>
          <w:color w:val="000000"/>
          <w:kern w:val="0"/>
          <w:sz w:val="24"/>
        </w:rPr>
        <w:t>十一、强制性国家标准所涉及的产品、过程或者服务目录</w:t>
      </w:r>
      <w:bookmarkEnd w:id="30"/>
    </w:p>
    <w:p>
      <w:pPr>
        <w:autoSpaceDE w:val="0"/>
        <w:autoSpaceDN w:val="0"/>
        <w:adjustRightInd w:val="0"/>
        <w:spacing w:line="400" w:lineRule="exact"/>
        <w:ind w:firstLine="480"/>
        <w:jc w:val="left"/>
        <w:outlineLvl w:val="0"/>
        <w:rPr>
          <w:bCs/>
          <w:color w:val="000000"/>
          <w:kern w:val="0"/>
          <w:sz w:val="24"/>
        </w:rPr>
      </w:pPr>
      <w:r>
        <w:rPr>
          <w:bCs/>
          <w:color w:val="000000"/>
          <w:kern w:val="0"/>
          <w:sz w:val="24"/>
        </w:rPr>
        <w:t>本标准涉及M、N类汽车使用的近光前照灯、远光前照灯、自适应性前照明系统、前雾灯、角灯等道路照明装置及系统。</w:t>
      </w:r>
    </w:p>
    <w:p>
      <w:pPr>
        <w:autoSpaceDE w:val="0"/>
        <w:autoSpaceDN w:val="0"/>
        <w:adjustRightInd w:val="0"/>
        <w:spacing w:line="400" w:lineRule="exact"/>
        <w:ind w:firstLine="480"/>
        <w:jc w:val="left"/>
        <w:outlineLvl w:val="0"/>
        <w:rPr>
          <w:rFonts w:eastAsia="黑体"/>
          <w:bCs/>
          <w:color w:val="000000"/>
          <w:kern w:val="0"/>
          <w:sz w:val="24"/>
        </w:rPr>
      </w:pPr>
      <w:bookmarkStart w:id="31" w:name="_Toc64898486"/>
      <w:r>
        <w:rPr>
          <w:rFonts w:eastAsia="黑体"/>
          <w:bCs/>
          <w:color w:val="000000"/>
          <w:kern w:val="0"/>
          <w:sz w:val="24"/>
        </w:rPr>
        <w:t>十二、其他应当予以说明的事项</w:t>
      </w:r>
      <w:bookmarkEnd w:id="19"/>
      <w:bookmarkEnd w:id="31"/>
    </w:p>
    <w:p>
      <w:pPr>
        <w:autoSpaceDE w:val="0"/>
        <w:autoSpaceDN w:val="0"/>
        <w:adjustRightInd w:val="0"/>
        <w:spacing w:line="400" w:lineRule="exact"/>
        <w:ind w:firstLine="480"/>
        <w:jc w:val="left"/>
        <w:outlineLvl w:val="0"/>
        <w:rPr>
          <w:bCs/>
          <w:color w:val="000000"/>
          <w:kern w:val="0"/>
          <w:sz w:val="24"/>
        </w:rPr>
      </w:pPr>
      <w:r>
        <w:rPr>
          <w:bCs/>
          <w:color w:val="000000"/>
          <w:kern w:val="0"/>
          <w:sz w:val="24"/>
        </w:rPr>
        <w:t>在对现有汽车灯光标准进行精简和整合的过程中，GB 4660-2016《机动车用前雾灯配光性能》也一并纳入本标准中，进行整合修订，对于摩托车及轻便摩托车道路照明装置及系统的前雾灯性能要求也适用于本法规。这样的修订原则与同期整合的UN Regulation No.149《关于机动车道路照明装置（车灯）和系统的统一规定》保持一致。</w:t>
      </w:r>
    </w:p>
    <w:p>
      <w:pPr>
        <w:widowControl/>
        <w:spacing w:line="240" w:lineRule="auto"/>
        <w:ind w:firstLine="0" w:firstLineChars="0"/>
        <w:jc w:val="left"/>
        <w:rPr>
          <w:rFonts w:eastAsia="黑体"/>
          <w:bCs/>
          <w:color w:val="000000"/>
          <w:kern w:val="0"/>
          <w:sz w:val="24"/>
        </w:rPr>
      </w:pPr>
      <w:bookmarkStart w:id="32" w:name="_GoBack"/>
      <w:bookmarkEnd w:id="32"/>
    </w:p>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800507"/>
    </w:sdtPr>
    <w:sdtContent>
      <w:p>
        <w:pPr>
          <w:pStyle w:val="5"/>
          <w:ind w:firstLine="360"/>
          <w:jc w:val="center"/>
        </w:pPr>
        <w:r>
          <w:fldChar w:fldCharType="begin"/>
        </w:r>
        <w:r>
          <w:instrText xml:space="preserve">PAGE   \* MERGEFORMAT</w:instrText>
        </w:r>
        <w:r>
          <w:fldChar w:fldCharType="separate"/>
        </w:r>
        <w:r>
          <w:rPr>
            <w:lang w:val="zh-CN"/>
          </w:rPr>
          <w:t>16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7210524"/>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p>
    <w:pPr>
      <w:pStyle w:val="5"/>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871E7"/>
    <w:multiLevelType w:val="multilevel"/>
    <w:tmpl w:val="0E5871E7"/>
    <w:lvl w:ilvl="0" w:tentative="0">
      <w:start w:val="1"/>
      <w:numFmt w:val="lowerLetter"/>
      <w:suff w:val="space"/>
      <w:lvlText w:val="%1."/>
      <w:lvlJc w:val="left"/>
      <w:pPr>
        <w:ind w:left="1560" w:hanging="420"/>
      </w:pPr>
      <w:rPr>
        <w:rFonts w:hint="eastAsia"/>
      </w:rPr>
    </w:lvl>
    <w:lvl w:ilvl="1" w:tentative="0">
      <w:start w:val="1"/>
      <w:numFmt w:val="bullet"/>
      <w:lvlText w:val=""/>
      <w:lvlJc w:val="left"/>
      <w:pPr>
        <w:ind w:left="2214" w:hanging="420"/>
      </w:pPr>
      <w:rPr>
        <w:rFonts w:hint="default" w:ascii="Wingdings" w:hAnsi="Wingdings"/>
      </w:rPr>
    </w:lvl>
    <w:lvl w:ilvl="2" w:tentative="0">
      <w:start w:val="1"/>
      <w:numFmt w:val="bullet"/>
      <w:lvlText w:val=""/>
      <w:lvlJc w:val="left"/>
      <w:pPr>
        <w:ind w:left="2634" w:hanging="420"/>
      </w:pPr>
      <w:rPr>
        <w:rFonts w:hint="default" w:ascii="Wingdings" w:hAnsi="Wingdings"/>
      </w:rPr>
    </w:lvl>
    <w:lvl w:ilvl="3" w:tentative="0">
      <w:start w:val="1"/>
      <w:numFmt w:val="bullet"/>
      <w:lvlText w:val=""/>
      <w:lvlJc w:val="left"/>
      <w:pPr>
        <w:ind w:left="3054" w:hanging="420"/>
      </w:pPr>
      <w:rPr>
        <w:rFonts w:hint="default" w:ascii="Wingdings" w:hAnsi="Wingdings"/>
      </w:rPr>
    </w:lvl>
    <w:lvl w:ilvl="4" w:tentative="0">
      <w:start w:val="1"/>
      <w:numFmt w:val="bullet"/>
      <w:lvlText w:val=""/>
      <w:lvlJc w:val="left"/>
      <w:pPr>
        <w:ind w:left="3474" w:hanging="420"/>
      </w:pPr>
      <w:rPr>
        <w:rFonts w:hint="default" w:ascii="Wingdings" w:hAnsi="Wingdings"/>
      </w:rPr>
    </w:lvl>
    <w:lvl w:ilvl="5" w:tentative="0">
      <w:start w:val="1"/>
      <w:numFmt w:val="bullet"/>
      <w:lvlText w:val=""/>
      <w:lvlJc w:val="left"/>
      <w:pPr>
        <w:ind w:left="3894" w:hanging="420"/>
      </w:pPr>
      <w:rPr>
        <w:rFonts w:hint="default" w:ascii="Wingdings" w:hAnsi="Wingdings"/>
      </w:rPr>
    </w:lvl>
    <w:lvl w:ilvl="6" w:tentative="0">
      <w:start w:val="1"/>
      <w:numFmt w:val="bullet"/>
      <w:lvlText w:val=""/>
      <w:lvlJc w:val="left"/>
      <w:pPr>
        <w:ind w:left="4314" w:hanging="420"/>
      </w:pPr>
      <w:rPr>
        <w:rFonts w:hint="default" w:ascii="Wingdings" w:hAnsi="Wingdings"/>
      </w:rPr>
    </w:lvl>
    <w:lvl w:ilvl="7" w:tentative="0">
      <w:start w:val="1"/>
      <w:numFmt w:val="bullet"/>
      <w:lvlText w:val=""/>
      <w:lvlJc w:val="left"/>
      <w:pPr>
        <w:ind w:left="4734" w:hanging="420"/>
      </w:pPr>
      <w:rPr>
        <w:rFonts w:hint="default" w:ascii="Wingdings" w:hAnsi="Wingdings"/>
      </w:rPr>
    </w:lvl>
    <w:lvl w:ilvl="8" w:tentative="0">
      <w:start w:val="1"/>
      <w:numFmt w:val="bullet"/>
      <w:lvlText w:val=""/>
      <w:lvlJc w:val="left"/>
      <w:pPr>
        <w:ind w:left="5154" w:hanging="420"/>
      </w:pPr>
      <w:rPr>
        <w:rFonts w:hint="default" w:ascii="Wingdings" w:hAnsi="Wingdings"/>
      </w:rPr>
    </w:lvl>
  </w:abstractNum>
  <w:abstractNum w:abstractNumId="1">
    <w:nsid w:val="0F3E7675"/>
    <w:multiLevelType w:val="multilevel"/>
    <w:tmpl w:val="0F3E7675"/>
    <w:lvl w:ilvl="0" w:tentative="0">
      <w:start w:val="1"/>
      <w:numFmt w:val="lowerLetter"/>
      <w:suff w:val="space"/>
      <w:lvlText w:val="%1."/>
      <w:lvlJc w:val="left"/>
      <w:pPr>
        <w:ind w:left="1560" w:hanging="420"/>
      </w:pPr>
      <w:rPr>
        <w:rFonts w:hint="eastAsia"/>
      </w:rPr>
    </w:lvl>
    <w:lvl w:ilvl="1" w:tentative="0">
      <w:start w:val="1"/>
      <w:numFmt w:val="bullet"/>
      <w:lvlText w:val=""/>
      <w:lvlJc w:val="left"/>
      <w:pPr>
        <w:ind w:left="2214" w:hanging="420"/>
      </w:pPr>
      <w:rPr>
        <w:rFonts w:hint="default" w:ascii="Wingdings" w:hAnsi="Wingdings"/>
      </w:rPr>
    </w:lvl>
    <w:lvl w:ilvl="2" w:tentative="0">
      <w:start w:val="1"/>
      <w:numFmt w:val="bullet"/>
      <w:lvlText w:val=""/>
      <w:lvlJc w:val="left"/>
      <w:pPr>
        <w:ind w:left="2634" w:hanging="420"/>
      </w:pPr>
      <w:rPr>
        <w:rFonts w:hint="default" w:ascii="Wingdings" w:hAnsi="Wingdings"/>
      </w:rPr>
    </w:lvl>
    <w:lvl w:ilvl="3" w:tentative="0">
      <w:start w:val="1"/>
      <w:numFmt w:val="bullet"/>
      <w:lvlText w:val=""/>
      <w:lvlJc w:val="left"/>
      <w:pPr>
        <w:ind w:left="3054" w:hanging="420"/>
      </w:pPr>
      <w:rPr>
        <w:rFonts w:hint="default" w:ascii="Wingdings" w:hAnsi="Wingdings"/>
      </w:rPr>
    </w:lvl>
    <w:lvl w:ilvl="4" w:tentative="0">
      <w:start w:val="1"/>
      <w:numFmt w:val="bullet"/>
      <w:lvlText w:val=""/>
      <w:lvlJc w:val="left"/>
      <w:pPr>
        <w:ind w:left="3474" w:hanging="420"/>
      </w:pPr>
      <w:rPr>
        <w:rFonts w:hint="default" w:ascii="Wingdings" w:hAnsi="Wingdings"/>
      </w:rPr>
    </w:lvl>
    <w:lvl w:ilvl="5" w:tentative="0">
      <w:start w:val="1"/>
      <w:numFmt w:val="bullet"/>
      <w:lvlText w:val=""/>
      <w:lvlJc w:val="left"/>
      <w:pPr>
        <w:ind w:left="3894" w:hanging="420"/>
      </w:pPr>
      <w:rPr>
        <w:rFonts w:hint="default" w:ascii="Wingdings" w:hAnsi="Wingdings"/>
      </w:rPr>
    </w:lvl>
    <w:lvl w:ilvl="6" w:tentative="0">
      <w:start w:val="1"/>
      <w:numFmt w:val="bullet"/>
      <w:lvlText w:val=""/>
      <w:lvlJc w:val="left"/>
      <w:pPr>
        <w:ind w:left="4314" w:hanging="420"/>
      </w:pPr>
      <w:rPr>
        <w:rFonts w:hint="default" w:ascii="Wingdings" w:hAnsi="Wingdings"/>
      </w:rPr>
    </w:lvl>
    <w:lvl w:ilvl="7" w:tentative="0">
      <w:start w:val="1"/>
      <w:numFmt w:val="bullet"/>
      <w:lvlText w:val=""/>
      <w:lvlJc w:val="left"/>
      <w:pPr>
        <w:ind w:left="4734" w:hanging="420"/>
      </w:pPr>
      <w:rPr>
        <w:rFonts w:hint="default" w:ascii="Wingdings" w:hAnsi="Wingdings"/>
      </w:rPr>
    </w:lvl>
    <w:lvl w:ilvl="8" w:tentative="0">
      <w:start w:val="1"/>
      <w:numFmt w:val="bullet"/>
      <w:lvlText w:val=""/>
      <w:lvlJc w:val="left"/>
      <w:pPr>
        <w:ind w:left="5154" w:hanging="420"/>
      </w:pPr>
      <w:rPr>
        <w:rFonts w:hint="default" w:ascii="Wingdings" w:hAnsi="Wingdings"/>
      </w:rPr>
    </w:lvl>
  </w:abstractNum>
  <w:abstractNum w:abstractNumId="2">
    <w:nsid w:val="724C1942"/>
    <w:multiLevelType w:val="multilevel"/>
    <w:tmpl w:val="724C1942"/>
    <w:lvl w:ilvl="0" w:tentative="0">
      <w:start w:val="1"/>
      <w:numFmt w:val="lowerLetter"/>
      <w:suff w:val="space"/>
      <w:lvlText w:val="%1."/>
      <w:lvlJc w:val="left"/>
      <w:pPr>
        <w:ind w:left="1560" w:hanging="420"/>
      </w:pPr>
      <w:rPr>
        <w:rFonts w:hint="eastAsia"/>
      </w:rPr>
    </w:lvl>
    <w:lvl w:ilvl="1" w:tentative="0">
      <w:start w:val="1"/>
      <w:numFmt w:val="bullet"/>
      <w:lvlText w:val=""/>
      <w:lvlJc w:val="left"/>
      <w:pPr>
        <w:ind w:left="2214" w:hanging="420"/>
      </w:pPr>
      <w:rPr>
        <w:rFonts w:hint="default" w:ascii="Wingdings" w:hAnsi="Wingdings"/>
      </w:rPr>
    </w:lvl>
    <w:lvl w:ilvl="2" w:tentative="0">
      <w:start w:val="1"/>
      <w:numFmt w:val="bullet"/>
      <w:lvlText w:val=""/>
      <w:lvlJc w:val="left"/>
      <w:pPr>
        <w:ind w:left="2634" w:hanging="420"/>
      </w:pPr>
      <w:rPr>
        <w:rFonts w:hint="default" w:ascii="Wingdings" w:hAnsi="Wingdings"/>
      </w:rPr>
    </w:lvl>
    <w:lvl w:ilvl="3" w:tentative="0">
      <w:start w:val="1"/>
      <w:numFmt w:val="bullet"/>
      <w:lvlText w:val=""/>
      <w:lvlJc w:val="left"/>
      <w:pPr>
        <w:ind w:left="3054" w:hanging="420"/>
      </w:pPr>
      <w:rPr>
        <w:rFonts w:hint="default" w:ascii="Wingdings" w:hAnsi="Wingdings"/>
      </w:rPr>
    </w:lvl>
    <w:lvl w:ilvl="4" w:tentative="0">
      <w:start w:val="1"/>
      <w:numFmt w:val="bullet"/>
      <w:lvlText w:val=""/>
      <w:lvlJc w:val="left"/>
      <w:pPr>
        <w:ind w:left="3474" w:hanging="420"/>
      </w:pPr>
      <w:rPr>
        <w:rFonts w:hint="default" w:ascii="Wingdings" w:hAnsi="Wingdings"/>
      </w:rPr>
    </w:lvl>
    <w:lvl w:ilvl="5" w:tentative="0">
      <w:start w:val="1"/>
      <w:numFmt w:val="bullet"/>
      <w:lvlText w:val=""/>
      <w:lvlJc w:val="left"/>
      <w:pPr>
        <w:ind w:left="3894" w:hanging="420"/>
      </w:pPr>
      <w:rPr>
        <w:rFonts w:hint="default" w:ascii="Wingdings" w:hAnsi="Wingdings"/>
      </w:rPr>
    </w:lvl>
    <w:lvl w:ilvl="6" w:tentative="0">
      <w:start w:val="1"/>
      <w:numFmt w:val="bullet"/>
      <w:lvlText w:val=""/>
      <w:lvlJc w:val="left"/>
      <w:pPr>
        <w:ind w:left="4314" w:hanging="420"/>
      </w:pPr>
      <w:rPr>
        <w:rFonts w:hint="default" w:ascii="Wingdings" w:hAnsi="Wingdings"/>
      </w:rPr>
    </w:lvl>
    <w:lvl w:ilvl="7" w:tentative="0">
      <w:start w:val="1"/>
      <w:numFmt w:val="bullet"/>
      <w:lvlText w:val=""/>
      <w:lvlJc w:val="left"/>
      <w:pPr>
        <w:ind w:left="4734" w:hanging="420"/>
      </w:pPr>
      <w:rPr>
        <w:rFonts w:hint="default" w:ascii="Wingdings" w:hAnsi="Wingdings"/>
      </w:rPr>
    </w:lvl>
    <w:lvl w:ilvl="8" w:tentative="0">
      <w:start w:val="1"/>
      <w:numFmt w:val="bullet"/>
      <w:lvlText w:val=""/>
      <w:lvlJc w:val="left"/>
      <w:pPr>
        <w:ind w:left="5154" w:hanging="420"/>
      </w:pPr>
      <w:rPr>
        <w:rFonts w:hint="default" w:ascii="Wingdings" w:hAnsi="Wingdings"/>
      </w:rPr>
    </w:lvl>
  </w:abstractNum>
  <w:abstractNum w:abstractNumId="3">
    <w:nsid w:val="7F9A1D80"/>
    <w:multiLevelType w:val="multilevel"/>
    <w:tmpl w:val="7F9A1D80"/>
    <w:lvl w:ilvl="0" w:tentative="0">
      <w:start w:val="1"/>
      <w:numFmt w:val="bullet"/>
      <w:lvlText w:val=""/>
      <w:lvlJc w:val="left"/>
      <w:pPr>
        <w:ind w:left="1794" w:hanging="420"/>
      </w:pPr>
      <w:rPr>
        <w:rFonts w:hint="default" w:ascii="Wingdings" w:hAnsi="Wingdings"/>
      </w:rPr>
    </w:lvl>
    <w:lvl w:ilvl="1" w:tentative="0">
      <w:start w:val="1"/>
      <w:numFmt w:val="bullet"/>
      <w:lvlText w:val=""/>
      <w:lvlJc w:val="left"/>
      <w:pPr>
        <w:ind w:left="2214" w:hanging="420"/>
      </w:pPr>
      <w:rPr>
        <w:rFonts w:hint="default" w:ascii="Wingdings" w:hAnsi="Wingdings"/>
      </w:rPr>
    </w:lvl>
    <w:lvl w:ilvl="2" w:tentative="0">
      <w:start w:val="1"/>
      <w:numFmt w:val="bullet"/>
      <w:lvlText w:val=""/>
      <w:lvlJc w:val="left"/>
      <w:pPr>
        <w:ind w:left="2634" w:hanging="420"/>
      </w:pPr>
      <w:rPr>
        <w:rFonts w:hint="default" w:ascii="Wingdings" w:hAnsi="Wingdings"/>
      </w:rPr>
    </w:lvl>
    <w:lvl w:ilvl="3" w:tentative="0">
      <w:start w:val="1"/>
      <w:numFmt w:val="bullet"/>
      <w:lvlText w:val=""/>
      <w:lvlJc w:val="left"/>
      <w:pPr>
        <w:ind w:left="3054" w:hanging="420"/>
      </w:pPr>
      <w:rPr>
        <w:rFonts w:hint="default" w:ascii="Wingdings" w:hAnsi="Wingdings"/>
      </w:rPr>
    </w:lvl>
    <w:lvl w:ilvl="4" w:tentative="0">
      <w:start w:val="1"/>
      <w:numFmt w:val="bullet"/>
      <w:lvlText w:val=""/>
      <w:lvlJc w:val="left"/>
      <w:pPr>
        <w:ind w:left="3474" w:hanging="420"/>
      </w:pPr>
      <w:rPr>
        <w:rFonts w:hint="default" w:ascii="Wingdings" w:hAnsi="Wingdings"/>
      </w:rPr>
    </w:lvl>
    <w:lvl w:ilvl="5" w:tentative="0">
      <w:start w:val="1"/>
      <w:numFmt w:val="bullet"/>
      <w:lvlText w:val=""/>
      <w:lvlJc w:val="left"/>
      <w:pPr>
        <w:ind w:left="3894" w:hanging="420"/>
      </w:pPr>
      <w:rPr>
        <w:rFonts w:hint="default" w:ascii="Wingdings" w:hAnsi="Wingdings"/>
      </w:rPr>
    </w:lvl>
    <w:lvl w:ilvl="6" w:tentative="0">
      <w:start w:val="1"/>
      <w:numFmt w:val="bullet"/>
      <w:lvlText w:val=""/>
      <w:lvlJc w:val="left"/>
      <w:pPr>
        <w:ind w:left="4314" w:hanging="420"/>
      </w:pPr>
      <w:rPr>
        <w:rFonts w:hint="default" w:ascii="Wingdings" w:hAnsi="Wingdings"/>
      </w:rPr>
    </w:lvl>
    <w:lvl w:ilvl="7" w:tentative="0">
      <w:start w:val="1"/>
      <w:numFmt w:val="bullet"/>
      <w:lvlText w:val=""/>
      <w:lvlJc w:val="left"/>
      <w:pPr>
        <w:ind w:left="4734" w:hanging="420"/>
      </w:pPr>
      <w:rPr>
        <w:rFonts w:hint="default" w:ascii="Wingdings" w:hAnsi="Wingdings"/>
      </w:rPr>
    </w:lvl>
    <w:lvl w:ilvl="8" w:tentative="0">
      <w:start w:val="1"/>
      <w:numFmt w:val="bullet"/>
      <w:lvlText w:val=""/>
      <w:lvlJc w:val="left"/>
      <w:pPr>
        <w:ind w:left="5154" w:hanging="42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45"/>
    <w:rsid w:val="0001062A"/>
    <w:rsid w:val="000138A9"/>
    <w:rsid w:val="0002215D"/>
    <w:rsid w:val="000234F2"/>
    <w:rsid w:val="000251DA"/>
    <w:rsid w:val="00033D3D"/>
    <w:rsid w:val="00054186"/>
    <w:rsid w:val="00061502"/>
    <w:rsid w:val="00062DED"/>
    <w:rsid w:val="00063CF8"/>
    <w:rsid w:val="0007256D"/>
    <w:rsid w:val="00075FB6"/>
    <w:rsid w:val="0007703C"/>
    <w:rsid w:val="00083E46"/>
    <w:rsid w:val="0009082E"/>
    <w:rsid w:val="000A2709"/>
    <w:rsid w:val="000A5A23"/>
    <w:rsid w:val="000B1518"/>
    <w:rsid w:val="000D5ECF"/>
    <w:rsid w:val="000D62F0"/>
    <w:rsid w:val="000E34E0"/>
    <w:rsid w:val="000F4C48"/>
    <w:rsid w:val="0010048B"/>
    <w:rsid w:val="00104D1A"/>
    <w:rsid w:val="00110B78"/>
    <w:rsid w:val="00112C53"/>
    <w:rsid w:val="00114B25"/>
    <w:rsid w:val="001165F4"/>
    <w:rsid w:val="001204EE"/>
    <w:rsid w:val="00127CDF"/>
    <w:rsid w:val="001345A5"/>
    <w:rsid w:val="001401CD"/>
    <w:rsid w:val="00141565"/>
    <w:rsid w:val="001478BD"/>
    <w:rsid w:val="00151E3B"/>
    <w:rsid w:val="0015202A"/>
    <w:rsid w:val="00156EA3"/>
    <w:rsid w:val="00163C2E"/>
    <w:rsid w:val="001646F0"/>
    <w:rsid w:val="001652B2"/>
    <w:rsid w:val="00167B0A"/>
    <w:rsid w:val="00176762"/>
    <w:rsid w:val="00180C77"/>
    <w:rsid w:val="001840F0"/>
    <w:rsid w:val="00190703"/>
    <w:rsid w:val="001A2308"/>
    <w:rsid w:val="001A6F69"/>
    <w:rsid w:val="001F2F9F"/>
    <w:rsid w:val="00206756"/>
    <w:rsid w:val="00210E39"/>
    <w:rsid w:val="00223659"/>
    <w:rsid w:val="00230B48"/>
    <w:rsid w:val="0023320B"/>
    <w:rsid w:val="002355F9"/>
    <w:rsid w:val="002435B6"/>
    <w:rsid w:val="0024422E"/>
    <w:rsid w:val="0024480C"/>
    <w:rsid w:val="00244AC4"/>
    <w:rsid w:val="002538CE"/>
    <w:rsid w:val="00254E83"/>
    <w:rsid w:val="00260138"/>
    <w:rsid w:val="00280CC2"/>
    <w:rsid w:val="00285E76"/>
    <w:rsid w:val="0028703F"/>
    <w:rsid w:val="00287E7B"/>
    <w:rsid w:val="002A4CD8"/>
    <w:rsid w:val="002A65E3"/>
    <w:rsid w:val="002C0299"/>
    <w:rsid w:val="002C2FC8"/>
    <w:rsid w:val="002D178D"/>
    <w:rsid w:val="002D32DD"/>
    <w:rsid w:val="002D6E70"/>
    <w:rsid w:val="002D7AA6"/>
    <w:rsid w:val="002E5A39"/>
    <w:rsid w:val="002F2BD1"/>
    <w:rsid w:val="002F2D31"/>
    <w:rsid w:val="002F609E"/>
    <w:rsid w:val="0030049D"/>
    <w:rsid w:val="00302966"/>
    <w:rsid w:val="00313CB6"/>
    <w:rsid w:val="003142E6"/>
    <w:rsid w:val="003152C4"/>
    <w:rsid w:val="0031601A"/>
    <w:rsid w:val="0033328C"/>
    <w:rsid w:val="003355A8"/>
    <w:rsid w:val="0033649E"/>
    <w:rsid w:val="00336545"/>
    <w:rsid w:val="00350492"/>
    <w:rsid w:val="00367D7E"/>
    <w:rsid w:val="00372EEF"/>
    <w:rsid w:val="00374C84"/>
    <w:rsid w:val="0038380F"/>
    <w:rsid w:val="003844CC"/>
    <w:rsid w:val="0038792E"/>
    <w:rsid w:val="003C2DFF"/>
    <w:rsid w:val="003C30FF"/>
    <w:rsid w:val="003C4CC8"/>
    <w:rsid w:val="003F12D5"/>
    <w:rsid w:val="003F6088"/>
    <w:rsid w:val="00407CE5"/>
    <w:rsid w:val="00427C10"/>
    <w:rsid w:val="00427F9C"/>
    <w:rsid w:val="00432BD8"/>
    <w:rsid w:val="004366C4"/>
    <w:rsid w:val="00437B57"/>
    <w:rsid w:val="0044661B"/>
    <w:rsid w:val="00457E96"/>
    <w:rsid w:val="004603C7"/>
    <w:rsid w:val="00462C78"/>
    <w:rsid w:val="00466530"/>
    <w:rsid w:val="00467C3B"/>
    <w:rsid w:val="0047296D"/>
    <w:rsid w:val="004809B2"/>
    <w:rsid w:val="00485A14"/>
    <w:rsid w:val="00491213"/>
    <w:rsid w:val="004A0856"/>
    <w:rsid w:val="004E7097"/>
    <w:rsid w:val="004F02F6"/>
    <w:rsid w:val="005245BC"/>
    <w:rsid w:val="00530D80"/>
    <w:rsid w:val="00535E44"/>
    <w:rsid w:val="00541FD5"/>
    <w:rsid w:val="00542212"/>
    <w:rsid w:val="00546324"/>
    <w:rsid w:val="005506FE"/>
    <w:rsid w:val="005516C6"/>
    <w:rsid w:val="00552A94"/>
    <w:rsid w:val="00554584"/>
    <w:rsid w:val="00561D6A"/>
    <w:rsid w:val="00562052"/>
    <w:rsid w:val="005656A1"/>
    <w:rsid w:val="005668FC"/>
    <w:rsid w:val="00571433"/>
    <w:rsid w:val="00577FD6"/>
    <w:rsid w:val="00582677"/>
    <w:rsid w:val="00587121"/>
    <w:rsid w:val="0059064B"/>
    <w:rsid w:val="00596B65"/>
    <w:rsid w:val="005A2AE1"/>
    <w:rsid w:val="005A3664"/>
    <w:rsid w:val="005A779F"/>
    <w:rsid w:val="005B19DC"/>
    <w:rsid w:val="005B1A20"/>
    <w:rsid w:val="005B43CD"/>
    <w:rsid w:val="005C22BD"/>
    <w:rsid w:val="005C441E"/>
    <w:rsid w:val="005D35CC"/>
    <w:rsid w:val="005E053B"/>
    <w:rsid w:val="005E5508"/>
    <w:rsid w:val="005F0FCF"/>
    <w:rsid w:val="005F491D"/>
    <w:rsid w:val="0060505A"/>
    <w:rsid w:val="0060678E"/>
    <w:rsid w:val="00614AE8"/>
    <w:rsid w:val="00615612"/>
    <w:rsid w:val="006228DE"/>
    <w:rsid w:val="00625162"/>
    <w:rsid w:val="00634C55"/>
    <w:rsid w:val="006563C7"/>
    <w:rsid w:val="00657C8A"/>
    <w:rsid w:val="0067312A"/>
    <w:rsid w:val="00673DC2"/>
    <w:rsid w:val="0068575E"/>
    <w:rsid w:val="00686BB4"/>
    <w:rsid w:val="006924AF"/>
    <w:rsid w:val="00694331"/>
    <w:rsid w:val="006A7FC8"/>
    <w:rsid w:val="006B205F"/>
    <w:rsid w:val="006B4D44"/>
    <w:rsid w:val="006C58A2"/>
    <w:rsid w:val="006D09ED"/>
    <w:rsid w:val="006D5E7C"/>
    <w:rsid w:val="006D76ED"/>
    <w:rsid w:val="006D7908"/>
    <w:rsid w:val="006E37DF"/>
    <w:rsid w:val="006F0D30"/>
    <w:rsid w:val="006F7AD2"/>
    <w:rsid w:val="00700DA0"/>
    <w:rsid w:val="00705B04"/>
    <w:rsid w:val="00706D40"/>
    <w:rsid w:val="007079A1"/>
    <w:rsid w:val="007204A4"/>
    <w:rsid w:val="00720BAE"/>
    <w:rsid w:val="00722E1A"/>
    <w:rsid w:val="00732C97"/>
    <w:rsid w:val="007414DF"/>
    <w:rsid w:val="0074565C"/>
    <w:rsid w:val="00750F25"/>
    <w:rsid w:val="00752032"/>
    <w:rsid w:val="00757E61"/>
    <w:rsid w:val="0077057E"/>
    <w:rsid w:val="00776C0C"/>
    <w:rsid w:val="0078264E"/>
    <w:rsid w:val="00790D4F"/>
    <w:rsid w:val="0079262D"/>
    <w:rsid w:val="00792842"/>
    <w:rsid w:val="00793CE2"/>
    <w:rsid w:val="0079419F"/>
    <w:rsid w:val="007942B3"/>
    <w:rsid w:val="00796D0F"/>
    <w:rsid w:val="007A1C1D"/>
    <w:rsid w:val="007A2BC4"/>
    <w:rsid w:val="007B00D5"/>
    <w:rsid w:val="007B6FD4"/>
    <w:rsid w:val="007C129F"/>
    <w:rsid w:val="007C14FA"/>
    <w:rsid w:val="007C1A80"/>
    <w:rsid w:val="007C1F78"/>
    <w:rsid w:val="007D0B71"/>
    <w:rsid w:val="007D34F5"/>
    <w:rsid w:val="007D4668"/>
    <w:rsid w:val="007D786F"/>
    <w:rsid w:val="007F1EE8"/>
    <w:rsid w:val="008045A0"/>
    <w:rsid w:val="00814265"/>
    <w:rsid w:val="00816473"/>
    <w:rsid w:val="00820218"/>
    <w:rsid w:val="00826EFB"/>
    <w:rsid w:val="008346BB"/>
    <w:rsid w:val="00836CF0"/>
    <w:rsid w:val="00841A6D"/>
    <w:rsid w:val="00843272"/>
    <w:rsid w:val="00843E73"/>
    <w:rsid w:val="0084498B"/>
    <w:rsid w:val="00844AB1"/>
    <w:rsid w:val="00855A4D"/>
    <w:rsid w:val="0086143A"/>
    <w:rsid w:val="00864679"/>
    <w:rsid w:val="00866231"/>
    <w:rsid w:val="00866232"/>
    <w:rsid w:val="008677AC"/>
    <w:rsid w:val="00872B9B"/>
    <w:rsid w:val="00874DBC"/>
    <w:rsid w:val="00882CA5"/>
    <w:rsid w:val="00892845"/>
    <w:rsid w:val="008944FD"/>
    <w:rsid w:val="00895E55"/>
    <w:rsid w:val="008A00CD"/>
    <w:rsid w:val="008A1AF7"/>
    <w:rsid w:val="008B6E3F"/>
    <w:rsid w:val="008C09FD"/>
    <w:rsid w:val="008D3A85"/>
    <w:rsid w:val="008D3D6C"/>
    <w:rsid w:val="008E7AA9"/>
    <w:rsid w:val="008F3281"/>
    <w:rsid w:val="00900E91"/>
    <w:rsid w:val="00904F7A"/>
    <w:rsid w:val="009100C2"/>
    <w:rsid w:val="0092054F"/>
    <w:rsid w:val="00925AEC"/>
    <w:rsid w:val="00926B5C"/>
    <w:rsid w:val="00936CF4"/>
    <w:rsid w:val="00945205"/>
    <w:rsid w:val="00945B03"/>
    <w:rsid w:val="00952694"/>
    <w:rsid w:val="009535F8"/>
    <w:rsid w:val="0095555A"/>
    <w:rsid w:val="00964F73"/>
    <w:rsid w:val="009656D2"/>
    <w:rsid w:val="0098092E"/>
    <w:rsid w:val="00982262"/>
    <w:rsid w:val="009830CA"/>
    <w:rsid w:val="00990507"/>
    <w:rsid w:val="00993EE8"/>
    <w:rsid w:val="009A289B"/>
    <w:rsid w:val="009A79E0"/>
    <w:rsid w:val="009C25F6"/>
    <w:rsid w:val="009D0E8F"/>
    <w:rsid w:val="009D4CD2"/>
    <w:rsid w:val="009E2D23"/>
    <w:rsid w:val="00A014E2"/>
    <w:rsid w:val="00A01CA2"/>
    <w:rsid w:val="00A04A4B"/>
    <w:rsid w:val="00A273B5"/>
    <w:rsid w:val="00A2748A"/>
    <w:rsid w:val="00A30B33"/>
    <w:rsid w:val="00A34435"/>
    <w:rsid w:val="00A367FE"/>
    <w:rsid w:val="00A422DF"/>
    <w:rsid w:val="00A545D6"/>
    <w:rsid w:val="00A7394C"/>
    <w:rsid w:val="00A75630"/>
    <w:rsid w:val="00A8147F"/>
    <w:rsid w:val="00A83F7F"/>
    <w:rsid w:val="00A92257"/>
    <w:rsid w:val="00AA5337"/>
    <w:rsid w:val="00AB4FDF"/>
    <w:rsid w:val="00AB64D6"/>
    <w:rsid w:val="00AC576B"/>
    <w:rsid w:val="00AC5956"/>
    <w:rsid w:val="00AD66AB"/>
    <w:rsid w:val="00AE6000"/>
    <w:rsid w:val="00AF357B"/>
    <w:rsid w:val="00AF42F9"/>
    <w:rsid w:val="00AF5AF1"/>
    <w:rsid w:val="00B006DE"/>
    <w:rsid w:val="00B01BFF"/>
    <w:rsid w:val="00B02664"/>
    <w:rsid w:val="00B06985"/>
    <w:rsid w:val="00B07DB1"/>
    <w:rsid w:val="00B118ED"/>
    <w:rsid w:val="00B1292A"/>
    <w:rsid w:val="00B12BB6"/>
    <w:rsid w:val="00B151C1"/>
    <w:rsid w:val="00B24EF9"/>
    <w:rsid w:val="00B25A2E"/>
    <w:rsid w:val="00B26070"/>
    <w:rsid w:val="00B2680A"/>
    <w:rsid w:val="00B345CC"/>
    <w:rsid w:val="00B36230"/>
    <w:rsid w:val="00B43BD7"/>
    <w:rsid w:val="00B4717D"/>
    <w:rsid w:val="00B4752F"/>
    <w:rsid w:val="00B64519"/>
    <w:rsid w:val="00B765F3"/>
    <w:rsid w:val="00B847FD"/>
    <w:rsid w:val="00B87929"/>
    <w:rsid w:val="00B90CB8"/>
    <w:rsid w:val="00B93CF6"/>
    <w:rsid w:val="00B96442"/>
    <w:rsid w:val="00BB33DA"/>
    <w:rsid w:val="00BB727F"/>
    <w:rsid w:val="00BC04D8"/>
    <w:rsid w:val="00BC5119"/>
    <w:rsid w:val="00BD1209"/>
    <w:rsid w:val="00BE1769"/>
    <w:rsid w:val="00BF1196"/>
    <w:rsid w:val="00C03438"/>
    <w:rsid w:val="00C13C64"/>
    <w:rsid w:val="00C14071"/>
    <w:rsid w:val="00C2014B"/>
    <w:rsid w:val="00C4676F"/>
    <w:rsid w:val="00C51BC5"/>
    <w:rsid w:val="00C622B1"/>
    <w:rsid w:val="00C65277"/>
    <w:rsid w:val="00C70107"/>
    <w:rsid w:val="00C7255A"/>
    <w:rsid w:val="00C75369"/>
    <w:rsid w:val="00C84846"/>
    <w:rsid w:val="00C92CD3"/>
    <w:rsid w:val="00C93FC2"/>
    <w:rsid w:val="00CA6217"/>
    <w:rsid w:val="00CC18ED"/>
    <w:rsid w:val="00CE206E"/>
    <w:rsid w:val="00CE4F79"/>
    <w:rsid w:val="00CF02C6"/>
    <w:rsid w:val="00CF21CB"/>
    <w:rsid w:val="00CF5298"/>
    <w:rsid w:val="00D02797"/>
    <w:rsid w:val="00D17BAF"/>
    <w:rsid w:val="00D2752D"/>
    <w:rsid w:val="00D3334E"/>
    <w:rsid w:val="00D34D79"/>
    <w:rsid w:val="00D421B9"/>
    <w:rsid w:val="00D425E3"/>
    <w:rsid w:val="00D44347"/>
    <w:rsid w:val="00D51FDD"/>
    <w:rsid w:val="00D5502C"/>
    <w:rsid w:val="00D62257"/>
    <w:rsid w:val="00D628BB"/>
    <w:rsid w:val="00D72AEC"/>
    <w:rsid w:val="00D75DA2"/>
    <w:rsid w:val="00D82142"/>
    <w:rsid w:val="00D82AA5"/>
    <w:rsid w:val="00D84414"/>
    <w:rsid w:val="00DA09DA"/>
    <w:rsid w:val="00DB33A9"/>
    <w:rsid w:val="00DB755C"/>
    <w:rsid w:val="00DD612E"/>
    <w:rsid w:val="00DE1242"/>
    <w:rsid w:val="00DE6F0B"/>
    <w:rsid w:val="00DF524A"/>
    <w:rsid w:val="00DF5B27"/>
    <w:rsid w:val="00E02845"/>
    <w:rsid w:val="00E07181"/>
    <w:rsid w:val="00E11230"/>
    <w:rsid w:val="00E153E7"/>
    <w:rsid w:val="00E30543"/>
    <w:rsid w:val="00E331DE"/>
    <w:rsid w:val="00E36094"/>
    <w:rsid w:val="00E42BD5"/>
    <w:rsid w:val="00E45604"/>
    <w:rsid w:val="00E47C0B"/>
    <w:rsid w:val="00E532F6"/>
    <w:rsid w:val="00E55412"/>
    <w:rsid w:val="00E825E7"/>
    <w:rsid w:val="00E93188"/>
    <w:rsid w:val="00E9410F"/>
    <w:rsid w:val="00E97526"/>
    <w:rsid w:val="00EA12E4"/>
    <w:rsid w:val="00EA134C"/>
    <w:rsid w:val="00EA77DA"/>
    <w:rsid w:val="00EB31FD"/>
    <w:rsid w:val="00EB3970"/>
    <w:rsid w:val="00EC1B78"/>
    <w:rsid w:val="00EC1BB0"/>
    <w:rsid w:val="00ED0C26"/>
    <w:rsid w:val="00ED11D8"/>
    <w:rsid w:val="00ED13CD"/>
    <w:rsid w:val="00EE1413"/>
    <w:rsid w:val="00EE1ED0"/>
    <w:rsid w:val="00EF2D86"/>
    <w:rsid w:val="00EF3BF2"/>
    <w:rsid w:val="00EF580E"/>
    <w:rsid w:val="00EF600F"/>
    <w:rsid w:val="00F06875"/>
    <w:rsid w:val="00F07582"/>
    <w:rsid w:val="00F203BE"/>
    <w:rsid w:val="00F312EF"/>
    <w:rsid w:val="00F32EF5"/>
    <w:rsid w:val="00F6014B"/>
    <w:rsid w:val="00F67E15"/>
    <w:rsid w:val="00F71D8B"/>
    <w:rsid w:val="00F749AB"/>
    <w:rsid w:val="00F7692F"/>
    <w:rsid w:val="00F854DE"/>
    <w:rsid w:val="00F94F13"/>
    <w:rsid w:val="00FA2542"/>
    <w:rsid w:val="00FA5DC0"/>
    <w:rsid w:val="00FB23AA"/>
    <w:rsid w:val="00FB3284"/>
    <w:rsid w:val="00FB4BA1"/>
    <w:rsid w:val="00FC086A"/>
    <w:rsid w:val="00FC344C"/>
    <w:rsid w:val="00FC513B"/>
    <w:rsid w:val="00FC68D0"/>
    <w:rsid w:val="00FD0014"/>
    <w:rsid w:val="00FE519A"/>
    <w:rsid w:val="00FE5A94"/>
    <w:rsid w:val="35FF2C37"/>
    <w:rsid w:val="3DFA1984"/>
    <w:rsid w:val="4F7E21F7"/>
    <w:rsid w:val="55FF55E9"/>
    <w:rsid w:val="59597EBE"/>
    <w:rsid w:val="5ABF3CED"/>
    <w:rsid w:val="5B0BFC0C"/>
    <w:rsid w:val="64DDB26E"/>
    <w:rsid w:val="6DEE3E0D"/>
    <w:rsid w:val="77FF9ADA"/>
    <w:rsid w:val="7BFFC919"/>
    <w:rsid w:val="7CFF5C30"/>
    <w:rsid w:val="7DFF5B3B"/>
    <w:rsid w:val="7E8EE776"/>
    <w:rsid w:val="7FBB9770"/>
    <w:rsid w:val="7FEF8B71"/>
    <w:rsid w:val="856F2C64"/>
    <w:rsid w:val="9BFF0E59"/>
    <w:rsid w:val="ACF9E76C"/>
    <w:rsid w:val="B7F90A57"/>
    <w:rsid w:val="DBFF4691"/>
    <w:rsid w:val="DFEF618D"/>
    <w:rsid w:val="EDBD9B48"/>
    <w:rsid w:val="EDCC9F3B"/>
    <w:rsid w:val="EFBFCE4C"/>
    <w:rsid w:val="F537CB66"/>
    <w:rsid w:val="FABD4BD8"/>
    <w:rsid w:val="FBEFDB9C"/>
    <w:rsid w:val="FCF5A6BC"/>
    <w:rsid w:val="FEDAF85A"/>
    <w:rsid w:val="FFF0B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20"/>
    <w:semiHidden/>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annotation subject"/>
    <w:basedOn w:val="3"/>
    <w:next w:val="3"/>
    <w:link w:val="22"/>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标题 1 字符"/>
    <w:basedOn w:val="11"/>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19">
    <w:name w:val="List Paragraph"/>
    <w:basedOn w:val="1"/>
    <w:qFormat/>
    <w:uiPriority w:val="99"/>
    <w:pPr>
      <w:ind w:firstLine="420"/>
    </w:pPr>
  </w:style>
  <w:style w:type="character" w:customStyle="1" w:styleId="20">
    <w:name w:val="批注框文本 字符"/>
    <w:basedOn w:val="11"/>
    <w:link w:val="4"/>
    <w:semiHidden/>
    <w:qFormat/>
    <w:uiPriority w:val="99"/>
    <w:rPr>
      <w:rFonts w:ascii="Times New Roman" w:hAnsi="Times New Roman" w:eastAsia="宋体" w:cs="Times New Roman"/>
      <w:sz w:val="18"/>
      <w:szCs w:val="18"/>
    </w:rPr>
  </w:style>
  <w:style w:type="character" w:customStyle="1" w:styleId="21">
    <w:name w:val="批注文字 字符"/>
    <w:basedOn w:val="11"/>
    <w:link w:val="3"/>
    <w:semiHidden/>
    <w:qFormat/>
    <w:uiPriority w:val="99"/>
    <w:rPr>
      <w:rFonts w:ascii="Times New Roman" w:hAnsi="Times New Roman" w:eastAsia="宋体" w:cs="Times New Roman"/>
      <w:szCs w:val="24"/>
    </w:rPr>
  </w:style>
  <w:style w:type="character" w:customStyle="1" w:styleId="22">
    <w:name w:val="批注主题 字符"/>
    <w:basedOn w:val="21"/>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1313</Words>
  <Characters>7489</Characters>
  <Lines>62</Lines>
  <Paragraphs>17</Paragraphs>
  <TotalTime>1</TotalTime>
  <ScaleCrop>false</ScaleCrop>
  <LinksUpToDate>false</LinksUpToDate>
  <CharactersWithSpaces>8785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2021-09-09T02:05:00Z</dcterms:created>
  <dc:creator>李云伟</dc:creator>
  <cp:lastModifiedBy>kylin</cp:lastModifiedBy>
  <cp:lastPrinted>2021-07-19T23:54:00Z</cp:lastPrinted>
  <dcterms:modified xsi:type="dcterms:W3CDTF">2021-09-17T08:05:07Z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