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45" w:type="dxa"/>
          </w:tcPr>
          <w:p>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43.140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4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T 80</w:t>
            </w:r>
            <w:r>
              <w:rPr>
                <w:rFonts w:ascii="黑体" w:hAnsi="黑体" w:eastAsia="黑体"/>
                <w:sz w:val="21"/>
                <w:szCs w:val="21"/>
              </w:rPr>
              <w:fldChar w:fldCharType="end"/>
            </w:r>
            <w:bookmarkEnd w:id="1"/>
          </w:p>
        </w:tc>
      </w:tr>
    </w:tbl>
    <w:p>
      <w:pPr>
        <w:pStyle w:val="53"/>
        <w:framePr w:w="9639" w:h="624" w:hRule="exact" w:hSpace="181" w:vSpace="181" w:hAnchor="page" w:x="1305" w:y="2269"/>
      </w:pPr>
      <w:bookmarkStart w:id="2" w:name="_Hlk26473981"/>
      <w:r>
        <w:rPr>
          <w:rFonts w:hint="eastAsia"/>
        </w:rPr>
        <w:t>中华人民共和国国家标准</w:t>
      </w:r>
    </w:p>
    <w:bookmarkEnd w:id="2"/>
    <w:p>
      <w:pPr>
        <w:pStyle w:val="198"/>
        <w:framePr/>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t>17353</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pPr>
        <w:pStyle w:val="199"/>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代替 GB 17353-2014</w:t>
      </w:r>
      <w:r>
        <w:rPr>
          <w:rFonts w:hAnsi="黑体"/>
        </w:rPr>
        <w:fldChar w:fldCharType="end"/>
      </w:r>
      <w:bookmarkEnd w:id="6"/>
    </w:p>
    <w:p>
      <w:pPr>
        <w:spacing w:line="240" w:lineRule="auto"/>
        <w:ind w:left="8080"/>
        <w:rPr>
          <w:rFonts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13">
                      <a:extLst>
                        <a:ext uri="{28A0092B-C50C-407E-A947-70E740481C1C}">
                          <a14:useLocalDpi xmlns:a14="http://schemas.microsoft.com/office/drawing/2010/main" val="false"/>
                        </a:ext>
                      </a:extLst>
                    </a:blip>
                    <a:srcRect/>
                    <a:stretch>
                      <a:fillRect/>
                    </a:stretch>
                  </pic:blipFill>
                  <pic:spPr>
                    <a:xfrm>
                      <a:off x="0" y="0"/>
                      <a:ext cx="1447200" cy="732960"/>
                    </a:xfrm>
                    <a:prstGeom prst="rect">
                      <a:avLst/>
                    </a:prstGeom>
                    <a:noFill/>
                    <a:ln>
                      <a:noFill/>
                    </a:ln>
                  </pic:spPr>
                </pic:pic>
              </a:graphicData>
            </a:graphic>
          </wp:anchor>
        </w:drawing>
      </w:r>
    </w:p>
    <w:p>
      <w:pPr>
        <w:pStyle w:val="53"/>
        <w:framePr w:w="9639" w:h="6976" w:hRule="exact" w:hSpace="0" w:vSpace="0" w:hAnchor="page" w:y="6408"/>
        <w:jc w:val="center"/>
        <w:rPr>
          <w:rFonts w:ascii="黑体" w:hAnsi="黑体" w:eastAsia="黑体"/>
          <w:b w:val="0"/>
          <w:bCs w:val="0"/>
          <w:w w:val="100"/>
        </w:rPr>
      </w:pPr>
    </w:p>
    <w:p>
      <w:pPr>
        <w:pStyle w:val="200"/>
        <w:framePr w:h="6974" w:hRule="exact"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摩托车和轻便摩托车防盗装置</w:t>
      </w:r>
      <w:r>
        <w:fldChar w:fldCharType="end"/>
      </w:r>
      <w:bookmarkEnd w:id="7"/>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Protective devices against unauthorized use for motorcycles and mopeds</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9"/>
    </w:p>
    <w:p>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6"/>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7"/>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14" cstate="print">
                      <a:extLst>
                        <a:ext uri="{28A0092B-C50C-407E-A947-70E740481C1C}">
                          <a14:useLocalDpi xmlns:a14="http://schemas.microsoft.com/office/drawing/2010/main" val="false"/>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r>
        <w:rPr>
          <w:rFonts w:hint="eastAsia" w:ascii="宋体" w:hAnsi="宋体"/>
          <w:sz w:val="28"/>
          <w:szCs w:val="28"/>
        </w:rPr>
        <w:t>`</w:t>
      </w:r>
    </w:p>
    <w:p>
      <w:pPr>
        <w:pStyle w:val="92"/>
        <w:spacing w:after="468"/>
      </w:pPr>
      <w:bookmarkStart w:id="19" w:name="BookMark2"/>
      <w:r>
        <w:rPr>
          <w:spacing w:val="320"/>
        </w:rPr>
        <w:t>前</w:t>
      </w:r>
      <w:r>
        <w:t>言</w:t>
      </w:r>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本文件代替GB 17353-2014《摩托车和轻便摩托车防盗装置》，与GB 17353-2014相比，除结构调整和编辑性改动外，主要技术变化如下：</w:t>
      </w:r>
    </w:p>
    <w:p>
      <w:pPr>
        <w:pStyle w:val="59"/>
        <w:ind w:firstLine="420"/>
      </w:pPr>
      <w:r>
        <w:rPr>
          <w:rFonts w:hint="eastAsia"/>
        </w:rPr>
        <w:t>── 增加了规范性引用文件（见第2章）；</w:t>
      </w:r>
    </w:p>
    <w:p>
      <w:pPr>
        <w:pStyle w:val="59"/>
        <w:ind w:firstLine="420"/>
      </w:pPr>
      <w:r>
        <w:rPr>
          <w:rFonts w:hint="eastAsia"/>
        </w:rPr>
        <w:t>── 更改了“钥匙”的定义（见3.5，2014年版的2.4）、增加了“定位装置”、“数字式钥匙”、“水平精度因子”、“圆概率误差”的术语和定义（见3.2、3.6、3.7、3.8）；</w:t>
      </w:r>
    </w:p>
    <w:p>
      <w:pPr>
        <w:pStyle w:val="59"/>
        <w:ind w:firstLine="420"/>
      </w:pPr>
      <w:r>
        <w:rPr>
          <w:rFonts w:hint="eastAsia"/>
        </w:rPr>
        <w:t>── 增加了2类、3类防盗装置对电机不能起动的要求（见第4章，2014年版的第3章）；</w:t>
      </w:r>
    </w:p>
    <w:p>
      <w:pPr>
        <w:pStyle w:val="59"/>
        <w:ind w:firstLine="420"/>
      </w:pPr>
      <w:r>
        <w:rPr>
          <w:rFonts w:hint="eastAsia"/>
        </w:rPr>
        <w:t>── 增加了车辆安装定位装置的规定（见5.2）；</w:t>
      </w:r>
    </w:p>
    <w:p>
      <w:pPr>
        <w:pStyle w:val="59"/>
        <w:ind w:firstLine="420"/>
      </w:pPr>
      <w:r>
        <w:rPr>
          <w:rFonts w:hint="eastAsia"/>
        </w:rPr>
        <w:t>—— 更改了防盗装置设计时应符合的要求，增加了详细的规定（见5.3，2014年版的4.1）；</w:t>
      </w:r>
    </w:p>
    <w:p>
      <w:pPr>
        <w:pStyle w:val="59"/>
        <w:ind w:firstLine="420"/>
      </w:pPr>
      <w:r>
        <w:rPr>
          <w:rFonts w:hint="eastAsia"/>
        </w:rPr>
        <w:t>—— 增加了使用数字式钥匙时的要求（见5.4，2014年版的4.2）；</w:t>
      </w:r>
    </w:p>
    <w:p>
      <w:pPr>
        <w:pStyle w:val="59"/>
        <w:ind w:firstLine="420"/>
      </w:pPr>
      <w:r>
        <w:rPr>
          <w:rFonts w:hint="eastAsia"/>
        </w:rPr>
        <w:t>—— 删除了车锁安装位置的要求（见5.6，2014年版的4.4）；</w:t>
      </w:r>
    </w:p>
    <w:p>
      <w:pPr>
        <w:pStyle w:val="59"/>
        <w:ind w:firstLine="420"/>
      </w:pPr>
      <w:r>
        <w:rPr>
          <w:rFonts w:hint="eastAsia"/>
        </w:rPr>
        <w:t>—— 增加了数字式钥匙锁止系统代码的要求（见5.8）；</w:t>
      </w:r>
    </w:p>
    <w:p>
      <w:pPr>
        <w:pStyle w:val="59"/>
        <w:ind w:firstLine="420"/>
      </w:pPr>
      <w:r>
        <w:rPr>
          <w:rFonts w:hint="eastAsia"/>
        </w:rPr>
        <w:t>—— 更改了锁的设计，区分有无锁芯的锁类设计要求（见5.10，2014年版的4.7）；</w:t>
      </w:r>
    </w:p>
    <w:p>
      <w:pPr>
        <w:pStyle w:val="59"/>
        <w:ind w:firstLine="420"/>
      </w:pPr>
      <w:r>
        <w:rPr>
          <w:rFonts w:hint="eastAsia"/>
        </w:rPr>
        <w:t>—— 增加了定位装置的功能（见5.15）、设计（见5.16、5.17）、结构和环境适应性要求（见5.18）；</w:t>
      </w:r>
    </w:p>
    <w:p>
      <w:pPr>
        <w:pStyle w:val="59"/>
        <w:ind w:firstLine="420"/>
      </w:pPr>
      <w:r>
        <w:rPr>
          <w:rFonts w:hint="eastAsia"/>
        </w:rPr>
        <w:t>── 更改了防盗装置应满足的特殊要求的表述，增加了数字式钥匙的豁免要求（见5.1）；</w:t>
      </w:r>
    </w:p>
    <w:p>
      <w:pPr>
        <w:pStyle w:val="59"/>
        <w:ind w:firstLine="420"/>
      </w:pPr>
      <w:r>
        <w:rPr>
          <w:rFonts w:hint="eastAsia"/>
        </w:rPr>
        <w:t>—— 增加了装有定位装置的车辆应满足的要求（见6.5）、精度要求（见6.6）、定位装置信号输出的要求（见6.7）；</w:t>
      </w:r>
    </w:p>
    <w:p>
      <w:pPr>
        <w:pStyle w:val="59"/>
        <w:ind w:firstLine="420"/>
      </w:pPr>
      <w:r>
        <w:rPr>
          <w:rFonts w:hint="eastAsia"/>
        </w:rPr>
        <w:t>── 更改了标准实施过渡期要求（见第7章，2014年版第6章）；</w:t>
      </w:r>
    </w:p>
    <w:p>
      <w:pPr>
        <w:pStyle w:val="59"/>
        <w:ind w:firstLine="420"/>
      </w:pPr>
      <w:r>
        <w:rPr>
          <w:rFonts w:hint="eastAsia"/>
        </w:rPr>
        <w:t>—— 删除了与E</w:t>
      </w:r>
      <w:r>
        <w:t>CE R62</w:t>
      </w:r>
      <w:r>
        <w:rPr>
          <w:rFonts w:hint="eastAsia"/>
        </w:rPr>
        <w:t>的章条编号对照情况（2</w:t>
      </w:r>
      <w:r>
        <w:t>014</w:t>
      </w:r>
      <w:r>
        <w:rPr>
          <w:rFonts w:hint="eastAsia"/>
        </w:rPr>
        <w:t>年版的附录A）；</w:t>
      </w:r>
    </w:p>
    <w:p>
      <w:pPr>
        <w:pStyle w:val="59"/>
        <w:ind w:firstLine="420"/>
      </w:pPr>
      <w:r>
        <w:rPr>
          <w:rFonts w:hint="eastAsia"/>
        </w:rPr>
        <w:t>——</w:t>
      </w:r>
      <w:r>
        <w:t xml:space="preserve"> </w:t>
      </w:r>
      <w:r>
        <w:rPr>
          <w:rFonts w:hint="eastAsia"/>
        </w:rPr>
        <w:t>修改了</w:t>
      </w:r>
      <w:r>
        <w:t>3</w:t>
      </w:r>
      <w:r>
        <w:rPr>
          <w:rFonts w:hint="eastAsia"/>
        </w:rPr>
        <w:t>类防盗装置的循环试验（见附录A，2</w:t>
      </w:r>
      <w:r>
        <w:t>014</w:t>
      </w:r>
      <w:r>
        <w:rPr>
          <w:rFonts w:hint="eastAsia"/>
        </w:rPr>
        <w:t>年版附录B）；</w:t>
      </w:r>
    </w:p>
    <w:p>
      <w:pPr>
        <w:pStyle w:val="59"/>
        <w:ind w:firstLine="420"/>
      </w:pPr>
      <w:r>
        <w:rPr>
          <w:rFonts w:hint="eastAsia"/>
        </w:rPr>
        <w:t>—— 增加了定位装置的电磁兼容性试验（见规范性附录</w:t>
      </w:r>
      <w:r>
        <w:t>B</w:t>
      </w:r>
      <w:r>
        <w:rPr>
          <w:rFonts w:hint="eastAsia"/>
        </w:rPr>
        <w:t>）；</w:t>
      </w:r>
    </w:p>
    <w:p>
      <w:pPr>
        <w:pStyle w:val="59"/>
        <w:ind w:firstLine="420"/>
      </w:pPr>
      <w:r>
        <w:rPr>
          <w:rFonts w:hint="eastAsia"/>
        </w:rPr>
        <w:t>——</w:t>
      </w:r>
      <w:r>
        <w:t xml:space="preserve"> </w:t>
      </w:r>
      <w:r>
        <w:rPr>
          <w:rFonts w:hint="eastAsia"/>
        </w:rPr>
        <w:t>增加了定位装置的卫星定位性能试验方法（见规范性附录</w:t>
      </w:r>
      <w:r>
        <w:t>C</w:t>
      </w:r>
      <w:r>
        <w:rPr>
          <w:rFonts w:hint="eastAsia"/>
        </w:rPr>
        <w:t>）。</w:t>
      </w:r>
    </w:p>
    <w:p>
      <w:pPr>
        <w:pStyle w:val="59"/>
        <w:ind w:firstLine="420"/>
      </w:pPr>
      <w:r>
        <w:rPr>
          <w:rFonts w:hint="eastAsia"/>
        </w:rPr>
        <w:t>本文件由中华人民共和国工业和信息化部提出并归口。</w:t>
      </w:r>
    </w:p>
    <w:p>
      <w:pPr>
        <w:pStyle w:val="59"/>
        <w:ind w:firstLine="420"/>
      </w:pPr>
      <w:r>
        <w:rPr>
          <w:rFonts w:hint="eastAsia"/>
        </w:rPr>
        <w:t>本文件替代标准的历次版本发布情况为：</w:t>
      </w:r>
    </w:p>
    <w:p>
      <w:pPr>
        <w:pStyle w:val="59"/>
        <w:ind w:firstLine="420"/>
      </w:pPr>
      <w:r>
        <w:rPr>
          <w:rFonts w:hint="eastAsia"/>
        </w:rPr>
        <w:t>── 1998年首次发布为GB 17353-1998，2014年第一次修订；</w:t>
      </w:r>
    </w:p>
    <w:p>
      <w:pPr>
        <w:pStyle w:val="59"/>
        <w:ind w:firstLine="420"/>
      </w:pPr>
      <w:r>
        <w:rPr>
          <w:rFonts w:hint="eastAsia"/>
        </w:rPr>
        <w:t>── 本次为第二次修订。</w:t>
      </w:r>
    </w:p>
    <w:p>
      <w:pPr>
        <w:pStyle w:val="59"/>
        <w:ind w:firstLine="420"/>
      </w:pPr>
    </w:p>
    <w:p>
      <w:pPr>
        <w:pStyle w:val="59"/>
        <w:ind w:firstLine="199" w:firstLineChars="95"/>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p>
    <w:bookmarkEnd w:id="19"/>
    <w:p>
      <w:pPr>
        <w:spacing w:line="20" w:lineRule="exact"/>
        <w:jc w:val="center"/>
        <w:rPr>
          <w:rFonts w:ascii="黑体" w:hAnsi="黑体" w:eastAsia="黑体"/>
          <w:sz w:val="32"/>
          <w:szCs w:val="32"/>
        </w:rPr>
      </w:pPr>
      <w:bookmarkStart w:id="20" w:name="BookMark4"/>
    </w:p>
    <w:p>
      <w:pPr>
        <w:spacing w:line="20" w:lineRule="exact"/>
        <w:jc w:val="center"/>
        <w:rPr>
          <w:rFonts w:ascii="黑体" w:hAnsi="黑体" w:eastAsia="黑体"/>
          <w:sz w:val="32"/>
          <w:szCs w:val="32"/>
        </w:rPr>
      </w:pPr>
    </w:p>
    <w:sdt>
      <w:sdtPr>
        <w:tag w:val="NEW_STAND_NAME"/>
        <w:id w:val="595910757"/>
        <w:lock w:val="sdtLocked"/>
        <w:placeholder>
          <w:docPart w:val="A89EC2BC98B847D4AE28D42D23D470BA"/>
        </w:placeholder>
      </w:sdtPr>
      <w:sdtContent>
        <w:p>
          <w:pPr>
            <w:pStyle w:val="180"/>
            <w:spacing w:before="3" w:beforeLines="1" w:after="686" w:afterLines="220"/>
          </w:pPr>
          <w:bookmarkStart w:id="21" w:name="NEW_STAND_NAME"/>
          <w:r>
            <w:rPr>
              <w:rFonts w:hint="eastAsia"/>
            </w:rPr>
            <w:t>摩托车和轻便摩托车防盗装置</w:t>
          </w:r>
        </w:p>
      </w:sdtContent>
    </w:sdt>
    <w:bookmarkEnd w:id="21"/>
    <w:p>
      <w:pPr>
        <w:pStyle w:val="107"/>
        <w:spacing w:before="312" w:after="312"/>
      </w:pPr>
      <w:bookmarkStart w:id="22" w:name="_Toc24884211"/>
      <w:bookmarkStart w:id="23" w:name="_Toc26648465"/>
      <w:bookmarkStart w:id="24" w:name="_Toc17233325"/>
      <w:bookmarkStart w:id="25" w:name="_Toc26718930"/>
      <w:bookmarkStart w:id="26" w:name="_Toc24884218"/>
      <w:bookmarkStart w:id="27" w:name="_Toc17233333"/>
      <w:bookmarkStart w:id="28" w:name="_Toc26986530"/>
      <w:bookmarkStart w:id="29" w:name="_Toc26986771"/>
      <w:r>
        <w:rPr>
          <w:rFonts w:hint="eastAsia"/>
        </w:rPr>
        <w:t>范围</w:t>
      </w:r>
      <w:bookmarkEnd w:id="22"/>
      <w:bookmarkEnd w:id="23"/>
      <w:bookmarkEnd w:id="24"/>
      <w:bookmarkEnd w:id="25"/>
      <w:bookmarkEnd w:id="26"/>
      <w:bookmarkEnd w:id="27"/>
      <w:bookmarkEnd w:id="28"/>
      <w:bookmarkEnd w:id="29"/>
    </w:p>
    <w:p>
      <w:pPr>
        <w:pStyle w:val="59"/>
        <w:ind w:firstLine="420"/>
      </w:pPr>
      <w:bookmarkStart w:id="30" w:name="_Toc26648466"/>
      <w:bookmarkStart w:id="31" w:name="_Toc17233334"/>
      <w:bookmarkStart w:id="32" w:name="_Toc17233326"/>
      <w:bookmarkStart w:id="33" w:name="_Toc24884212"/>
      <w:bookmarkStart w:id="34" w:name="_Toc24884219"/>
      <w:r>
        <w:rPr>
          <w:rFonts w:hint="eastAsia"/>
        </w:rPr>
        <w:t>本标准规定了摩托车和轻便摩托车防盗装置的术语和定义、分类、要求和试验方法。</w:t>
      </w:r>
    </w:p>
    <w:p>
      <w:pPr>
        <w:pStyle w:val="59"/>
        <w:ind w:firstLine="420"/>
      </w:pPr>
      <w:r>
        <w:rPr>
          <w:rFonts w:hint="eastAsia"/>
        </w:rPr>
        <w:t>本标准适用于摩托车和轻便摩托车（以下简称车辆）的防盗装置。</w:t>
      </w:r>
    </w:p>
    <w:p>
      <w:pPr>
        <w:pStyle w:val="107"/>
        <w:spacing w:before="312" w:after="312"/>
      </w:pPr>
      <w:bookmarkStart w:id="35" w:name="_Toc26986772"/>
      <w:bookmarkStart w:id="36" w:name="_Toc26718931"/>
      <w:bookmarkStart w:id="37" w:name="_Toc26986531"/>
      <w:r>
        <w:rPr>
          <w:rFonts w:hint="eastAsia"/>
        </w:rPr>
        <w:t>规范性引用文件</w:t>
      </w:r>
      <w:bookmarkEnd w:id="30"/>
      <w:bookmarkEnd w:id="31"/>
      <w:bookmarkEnd w:id="32"/>
      <w:bookmarkEnd w:id="33"/>
      <w:bookmarkEnd w:id="34"/>
      <w:bookmarkEnd w:id="35"/>
      <w:bookmarkEnd w:id="36"/>
      <w:bookmarkEnd w:id="37"/>
    </w:p>
    <w:sdt>
      <w:sdtPr>
        <w:rPr>
          <w:rFonts w:hint="eastAsia"/>
        </w:rPr>
        <w:id w:val="715848253"/>
        <w:placeholder>
          <w:docPart w:val="A8AAAB22983247DF9CF3D38230ADBA4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ind w:firstLine="420"/>
      </w:pPr>
      <w:r>
        <w:rPr>
          <w:rFonts w:hint="eastAsia"/>
        </w:rPr>
        <w:t>GB/T 4208-2017</w:t>
      </w:r>
      <w:r>
        <w:t xml:space="preserve">  </w:t>
      </w:r>
      <w:r>
        <w:rPr>
          <w:rFonts w:hint="eastAsia"/>
        </w:rPr>
        <w:t>外壳防护等级（IP代码）</w:t>
      </w:r>
    </w:p>
    <w:p>
      <w:pPr>
        <w:pStyle w:val="59"/>
        <w:ind w:firstLine="420"/>
      </w:pPr>
      <w:r>
        <w:rPr>
          <w:rFonts w:hint="eastAsia"/>
        </w:rPr>
        <w:t xml:space="preserve">GB 34660-2017 </w:t>
      </w:r>
      <w:r>
        <w:t xml:space="preserve"> </w:t>
      </w:r>
      <w:r>
        <w:rPr>
          <w:rFonts w:hint="eastAsia"/>
        </w:rPr>
        <w:t>道路车辆电磁兼容性要求和试验方法</w:t>
      </w:r>
    </w:p>
    <w:p>
      <w:pPr>
        <w:pStyle w:val="59"/>
        <w:ind w:firstLine="420"/>
      </w:pPr>
      <w:r>
        <w:rPr>
          <w:rFonts w:hint="eastAsia"/>
        </w:rPr>
        <w:t>GB/T 39267-2020</w:t>
      </w:r>
      <w:r>
        <w:t xml:space="preserve">  </w:t>
      </w:r>
      <w:r>
        <w:rPr>
          <w:rFonts w:hint="eastAsia"/>
        </w:rPr>
        <w:t>北斗导航术语</w:t>
      </w:r>
    </w:p>
    <w:p>
      <w:pPr>
        <w:pStyle w:val="59"/>
        <w:ind w:firstLine="420"/>
      </w:pPr>
      <w:r>
        <w:rPr>
          <w:rFonts w:hint="eastAsia"/>
        </w:rPr>
        <w:t>BD</w:t>
      </w:r>
      <w:r>
        <w:t xml:space="preserve"> </w:t>
      </w:r>
      <w:r>
        <w:rPr>
          <w:rFonts w:hint="eastAsia"/>
        </w:rPr>
        <w:t>420005-2015 北斗/全球卫星导航系统（GNSS）导航单元性能要求及测试方法</w:t>
      </w:r>
    </w:p>
    <w:p>
      <w:pPr>
        <w:pStyle w:val="107"/>
        <w:spacing w:before="312" w:after="312"/>
      </w:pPr>
      <w:r>
        <w:rPr>
          <w:rFonts w:hint="eastAsia"/>
          <w:szCs w:val="21"/>
        </w:rPr>
        <w:t>术语和定义</w:t>
      </w:r>
    </w:p>
    <w:sdt>
      <w:sdtPr>
        <w:rPr>
          <w:rFonts w:hint="eastAsia"/>
        </w:rPr>
        <w:id w:val="-255125760"/>
        <w:placeholder>
          <w:docPart w:val="A8AAAB22983247DF9CF3D38230ADBA4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pPr>
            <w:pStyle w:val="59"/>
            <w:ind w:firstLine="420"/>
            <w:jc w:val="left"/>
          </w:pPr>
          <w:bookmarkStart w:id="38" w:name="_Toc26986532"/>
          <w:bookmarkEnd w:id="38"/>
          <w:r>
            <w:rPr>
              <w:rFonts w:hint="eastAsia"/>
            </w:rPr>
            <w:t>GB/T 25259、G</w:t>
          </w:r>
          <w:r>
            <w:t>B/T 39267</w:t>
          </w:r>
          <w:r>
            <w:rPr>
              <w:rFonts w:hint="eastAsia"/>
            </w:rPr>
            <w:t>界定的以及下列术语和定义适用于本文件。</w:t>
          </w:r>
        </w:p>
      </w:sdtContent>
    </w:sdt>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防盗装置 </w:t>
      </w:r>
      <w:r>
        <w:rPr>
          <w:rFonts w:ascii="黑体" w:hAnsi="黑体" w:eastAsia="黑体"/>
        </w:rPr>
        <w:t xml:space="preserve"> protective device</w:t>
      </w:r>
    </w:p>
    <w:p>
      <w:pPr>
        <w:pStyle w:val="59"/>
        <w:ind w:firstLine="420"/>
      </w:pPr>
      <w:r>
        <w:rPr>
          <w:rFonts w:hint="eastAsia"/>
        </w:rPr>
        <w:t>一种锁定车辆的转向机构或者传动机构，以防止车辆被盗的系统。</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定位装置 </w:t>
      </w:r>
      <w:r>
        <w:rPr>
          <w:rFonts w:ascii="黑体" w:hAnsi="黑体" w:eastAsia="黑体"/>
        </w:rPr>
        <w:t xml:space="preserve"> </w:t>
      </w:r>
      <w:r>
        <w:rPr>
          <w:rFonts w:hint="eastAsia" w:ascii="黑体" w:hAnsi="黑体" w:eastAsia="黑体"/>
        </w:rPr>
        <w:t>positioning device</w:t>
      </w:r>
    </w:p>
    <w:p>
      <w:pPr>
        <w:pStyle w:val="59"/>
        <w:ind w:firstLine="420"/>
      </w:pPr>
      <w:r>
        <w:rPr>
          <w:rFonts w:hint="eastAsia"/>
        </w:rPr>
        <w:t>一种安装在车辆内，能够实现对车辆位置信息进行采集和报送的装置。</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转向机构 </w:t>
      </w:r>
      <w:r>
        <w:rPr>
          <w:rFonts w:ascii="黑体" w:hAnsi="黑体" w:eastAsia="黑体"/>
        </w:rPr>
        <w:t xml:space="preserve"> steering</w:t>
      </w:r>
    </w:p>
    <w:p>
      <w:pPr>
        <w:pStyle w:val="59"/>
        <w:ind w:firstLine="420"/>
      </w:pPr>
      <w:r>
        <w:rPr>
          <w:rFonts w:hint="eastAsia"/>
        </w:rPr>
        <w:t>转向操纵机构（方向把或转向盘）、转向柱、转向柱联板以及所有直接影响防盗装置有效性的部件。</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组合 </w:t>
      </w:r>
      <w:r>
        <w:rPr>
          <w:rFonts w:ascii="黑体" w:hAnsi="黑体" w:eastAsia="黑体"/>
        </w:rPr>
        <w:t xml:space="preserve"> combination</w:t>
      </w:r>
    </w:p>
    <w:p>
      <w:pPr>
        <w:pStyle w:val="59"/>
        <w:ind w:firstLine="420"/>
      </w:pPr>
      <w:r>
        <w:rPr>
          <w:rFonts w:hint="eastAsia"/>
        </w:rPr>
        <w:t>经专门设计和制造的锁止系统的变化组合。</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机械式钥匙 </w:t>
      </w:r>
      <w:r>
        <w:rPr>
          <w:rFonts w:ascii="黑体" w:hAnsi="黑体" w:eastAsia="黑体"/>
        </w:rPr>
        <w:t xml:space="preserve"> mechanical key</w:t>
      </w:r>
    </w:p>
    <w:p>
      <w:pPr>
        <w:pStyle w:val="59"/>
        <w:ind w:firstLine="420"/>
      </w:pPr>
      <w:r>
        <w:rPr>
          <w:rFonts w:hint="eastAsia"/>
        </w:rPr>
        <w:t>用于只能对同一辆车上一件或多件锁止系统进行锁止或解除锁止的机械部件。</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数字式钥匙 </w:t>
      </w:r>
      <w:r>
        <w:rPr>
          <w:rFonts w:ascii="黑体" w:hAnsi="黑体" w:eastAsia="黑体"/>
        </w:rPr>
        <w:t xml:space="preserve"> ditital key</w:t>
      </w:r>
    </w:p>
    <w:p>
      <w:pPr>
        <w:pStyle w:val="59"/>
        <w:ind w:firstLine="420"/>
      </w:pPr>
      <w:bookmarkStart w:id="39" w:name="_Hlk72419032"/>
      <w:r>
        <w:rPr>
          <w:rFonts w:hint="eastAsia"/>
        </w:rPr>
        <w:t>具有向车辆上一个或多个终端通信，通信结果可以对同一车辆上一件或多件锁止系统进行锁止或解除锁止的随车部件。</w:t>
      </w:r>
    </w:p>
    <w:p>
      <w:pPr>
        <w:pStyle w:val="182"/>
      </w:pPr>
      <w:r>
        <w:rPr>
          <w:rFonts w:hint="eastAsia"/>
        </w:rPr>
        <w:t>仅适用于生产厂在车辆第一次出厂时的随车部件。</w:t>
      </w:r>
      <w:bookmarkEnd w:id="39"/>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水平精度因子 </w:t>
      </w:r>
      <w:r>
        <w:rPr>
          <w:rFonts w:ascii="黑体" w:hAnsi="黑体" w:eastAsia="黑体"/>
        </w:rPr>
        <w:t xml:space="preserve"> </w:t>
      </w:r>
      <w:r>
        <w:rPr>
          <w:rFonts w:hint="eastAsia" w:ascii="黑体" w:hAnsi="黑体" w:eastAsia="黑体"/>
        </w:rPr>
        <w:t>horizontal dilution of precision；HDOP</w:t>
      </w:r>
    </w:p>
    <w:p>
      <w:pPr>
        <w:pStyle w:val="59"/>
        <w:ind w:firstLine="420"/>
      </w:pPr>
      <w:r>
        <w:rPr>
          <w:rFonts w:hint="eastAsia"/>
        </w:rPr>
        <w:t>表征导航星座的几何分布导致用户平面精度降级程度的无量纲参数。</w:t>
      </w:r>
    </w:p>
    <w:p>
      <w:pPr>
        <w:pStyle w:val="59"/>
        <w:ind w:firstLine="420"/>
      </w:pPr>
      <w:r>
        <w:rPr>
          <w:rFonts w:hint="eastAsia"/>
        </w:rPr>
        <w:t>[来源：G</w:t>
      </w:r>
      <w:r>
        <w:t>B/T 39267-2020</w:t>
      </w:r>
      <w:r>
        <w:rPr>
          <w:rFonts w:hint="eastAsia"/>
        </w:rPr>
        <w:t>，5</w:t>
      </w:r>
      <w:r>
        <w:t>.1.25]</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圆概率误差  circular error probable；CEP</w:t>
      </w:r>
    </w:p>
    <w:p>
      <w:pPr>
        <w:pStyle w:val="59"/>
        <w:ind w:firstLine="420"/>
      </w:pPr>
      <w:r>
        <w:rPr>
          <w:rFonts w:hint="eastAsia"/>
        </w:rPr>
        <w:t>在某平面内，以真实值为圆心，包含50%的二维散布点位的半径。</w:t>
      </w:r>
    </w:p>
    <w:p>
      <w:pPr>
        <w:pStyle w:val="59"/>
        <w:ind w:firstLine="420"/>
      </w:pPr>
      <w:r>
        <w:rPr>
          <w:rFonts w:hint="eastAsia"/>
        </w:rPr>
        <w:t>[来源：G</w:t>
      </w:r>
      <w:r>
        <w:t>B/T 39267-2020</w:t>
      </w:r>
      <w:r>
        <w:rPr>
          <w:rFonts w:hint="eastAsia"/>
        </w:rPr>
        <w:t>，5</w:t>
      </w:r>
      <w:r>
        <w:t>.1.17]</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电磁抗扰 </w:t>
      </w:r>
      <w:r>
        <w:rPr>
          <w:rFonts w:ascii="黑体" w:hAnsi="黑体" w:eastAsia="黑体"/>
        </w:rPr>
        <w:t xml:space="preserve"> e</w:t>
      </w:r>
      <w:r>
        <w:rPr>
          <w:rFonts w:hint="eastAsia" w:ascii="黑体" w:hAnsi="黑体" w:eastAsia="黑体"/>
        </w:rPr>
        <w:t>lectromagnetic immunity</w:t>
      </w:r>
    </w:p>
    <w:p>
      <w:pPr>
        <w:pStyle w:val="59"/>
        <w:ind w:firstLine="420"/>
      </w:pPr>
      <w:r>
        <w:rPr>
          <w:rFonts w:hint="eastAsia"/>
        </w:rPr>
        <w:t>车辆、电气电子系统/部件抵抗电磁骚扰、避免性能降级的电磁现象。</w:t>
      </w:r>
    </w:p>
    <w:p>
      <w:pPr>
        <w:pStyle w:val="59"/>
        <w:ind w:firstLine="420"/>
      </w:pPr>
      <w:r>
        <w:rPr>
          <w:rFonts w:hint="eastAsia"/>
        </w:rPr>
        <w:t>[来源：</w:t>
      </w:r>
      <w:r>
        <w:t>GB/T 25259-2012</w:t>
      </w:r>
      <w:r>
        <w:rPr>
          <w:rFonts w:hint="eastAsia"/>
        </w:rPr>
        <w:t>，3</w:t>
      </w:r>
      <w:r>
        <w:t>.8]</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NEMA-0183语句</w:t>
      </w:r>
    </w:p>
    <w:p>
      <w:pPr>
        <w:pStyle w:val="59"/>
        <w:ind w:firstLine="420"/>
      </w:pPr>
      <w:r>
        <w:rPr>
          <w:rFonts w:hint="eastAsia"/>
        </w:rPr>
        <w:t>由美国国家海洋电子协会制定的一套通讯协议。卫星接收机根据该协议的标准规范，将位置、速度等信息进行输出。</w:t>
      </w:r>
    </w:p>
    <w:p>
      <w:pPr>
        <w:pStyle w:val="107"/>
        <w:spacing w:before="312" w:after="312"/>
      </w:pPr>
      <w:r>
        <w:rPr>
          <w:rFonts w:hint="eastAsia"/>
        </w:rPr>
        <w:t>分类</w:t>
      </w:r>
    </w:p>
    <w:p>
      <w:pPr>
        <w:pStyle w:val="59"/>
        <w:ind w:firstLine="420"/>
      </w:pPr>
      <w:r>
        <w:rPr>
          <w:rFonts w:hint="eastAsia"/>
        </w:rPr>
        <w:t>防盗装置分为4类：</w:t>
      </w:r>
    </w:p>
    <w:p>
      <w:pPr>
        <w:pStyle w:val="135"/>
      </w:pPr>
      <w:r>
        <w:rPr>
          <w:rFonts w:hint="eastAsia"/>
        </w:rPr>
        <w:t>1类：只对转向机构进行锁止。</w:t>
      </w:r>
    </w:p>
    <w:p>
      <w:pPr>
        <w:pStyle w:val="135"/>
      </w:pPr>
      <w:r>
        <w:rPr>
          <w:rFonts w:hint="eastAsia"/>
        </w:rPr>
        <w:t>2类：能锁止转向机构，并能使发动机或电机不能起动。</w:t>
      </w:r>
    </w:p>
    <w:p>
      <w:pPr>
        <w:pStyle w:val="135"/>
      </w:pPr>
      <w:r>
        <w:rPr>
          <w:rFonts w:hint="eastAsia"/>
        </w:rPr>
        <w:t>3类：预加载荷锁止转向机构，并能使发动机或电机不能起动。</w:t>
      </w:r>
    </w:p>
    <w:p>
      <w:pPr>
        <w:pStyle w:val="135"/>
      </w:pPr>
      <w:r>
        <w:rPr>
          <w:rFonts w:hint="eastAsia"/>
        </w:rPr>
        <w:t>4类：对传动装置的锁止。</w:t>
      </w:r>
    </w:p>
    <w:p>
      <w:pPr>
        <w:pStyle w:val="107"/>
        <w:spacing w:before="312" w:after="312"/>
      </w:pPr>
      <w:r>
        <w:rPr>
          <w:rFonts w:hint="eastAsia"/>
        </w:rPr>
        <w:t>一般要求</w:t>
      </w:r>
    </w:p>
    <w:p>
      <w:pPr>
        <w:pStyle w:val="165"/>
      </w:pPr>
      <w:r>
        <w:rPr>
          <w:rFonts w:hint="eastAsia"/>
        </w:rPr>
        <w:t>车辆防盗装置应至少安装1至4类中的一类。</w:t>
      </w:r>
    </w:p>
    <w:p>
      <w:pPr>
        <w:pStyle w:val="165"/>
      </w:pPr>
      <w:r>
        <w:rPr>
          <w:rFonts w:hint="eastAsia"/>
        </w:rPr>
        <w:t>车辆定位装置可选择安装。如安装了定位装置应符合本文件要求。</w:t>
      </w:r>
    </w:p>
    <w:p>
      <w:pPr>
        <w:pStyle w:val="165"/>
      </w:pPr>
      <w:r>
        <w:rPr>
          <w:rFonts w:hint="eastAsia"/>
        </w:rPr>
        <w:t>防盗装置应符合以下设计要求：</w:t>
      </w:r>
    </w:p>
    <w:p>
      <w:pPr>
        <w:pStyle w:val="177"/>
      </w:pPr>
      <w:r>
        <w:rPr>
          <w:rFonts w:hint="eastAsia"/>
        </w:rPr>
        <w:t>1至3类防盗装置起作用时，应确保车辆不能转向且不能沿一直线向前移动；4类防盗装置起作用时，应确保车辆不能向前移动；</w:t>
      </w:r>
    </w:p>
    <w:p>
      <w:pPr>
        <w:pStyle w:val="177"/>
      </w:pPr>
      <w:r>
        <w:rPr>
          <w:rFonts w:hint="eastAsia"/>
        </w:rPr>
        <w:t>采用4类的防盗装置，当防盗装置解除对传动机构的锁止，该装置应该失去锁止作用。如果该装置是通过控制驻车装置起作用的，它起作用的同时车辆发动机或电机应停止运转；</w:t>
      </w:r>
    </w:p>
    <w:p>
      <w:pPr>
        <w:pStyle w:val="177"/>
      </w:pPr>
      <w:r>
        <w:rPr>
          <w:rFonts w:hint="eastAsia"/>
        </w:rPr>
        <w:t>只有当锁舌完全开启或关闭时，才能将机械式钥匙拔出。即使插入机械式钥匙，也不应使其处于任何影响锁舌接合的中间位置。使用数字式钥匙车辆豁免本条款。</w:t>
      </w:r>
    </w:p>
    <w:p>
      <w:pPr>
        <w:pStyle w:val="165"/>
      </w:pPr>
      <w:r>
        <w:rPr>
          <w:rFonts w:hint="eastAsia"/>
        </w:rPr>
        <w:t>通过一把机械式钥匙或数字式钥匙的独立操作即能满足5.</w:t>
      </w:r>
      <w:r>
        <w:t>3</w:t>
      </w:r>
      <w:r>
        <w:rPr>
          <w:rFonts w:hint="eastAsia"/>
        </w:rPr>
        <w:t>条所规定的要求。</w:t>
      </w:r>
    </w:p>
    <w:p>
      <w:pPr>
        <w:pStyle w:val="165"/>
      </w:pPr>
      <w:r>
        <w:rPr>
          <w:rFonts w:hint="eastAsia"/>
        </w:rPr>
        <w:t>防盗装置以及车辆上与其工作有关的零件的设计，应能保证该装置不会被迅速、无意地开启、失效或用廉价的、容易隐藏的、一般公众容易携带和制造的工具解除锁止或破坏。</w:t>
      </w:r>
    </w:p>
    <w:p>
      <w:pPr>
        <w:pStyle w:val="165"/>
      </w:pPr>
      <w:r>
        <w:rPr>
          <w:rFonts w:hint="eastAsia"/>
        </w:rPr>
        <w:t>防盗装置应作为一个原装部件安装在车辆上（即该装置由生产厂在车辆第一次销售前安装在车辆上）。</w:t>
      </w:r>
    </w:p>
    <w:p>
      <w:pPr>
        <w:pStyle w:val="165"/>
      </w:pPr>
      <w:r>
        <w:rPr>
          <w:rFonts w:hint="eastAsia"/>
        </w:rPr>
        <w:t>锁止系统的机械式钥匙至少应有1000种的不同组合。如果车辆年总产量少于1000辆，则钥匙的组合数应与该车型年总产量数相等。在同一种车型的所有车辆中，某一种组合的出现率应不大于1/1000。</w:t>
      </w:r>
    </w:p>
    <w:p>
      <w:pPr>
        <w:pStyle w:val="165"/>
      </w:pPr>
      <w:r>
        <w:rPr>
          <w:rFonts w:hint="eastAsia"/>
        </w:rPr>
        <w:t>锁止系统的数字式钥匙至少应有50000种变化且编入滚动代码，和/或扫描5000种变化至少需要24h。</w:t>
      </w:r>
    </w:p>
    <w:p>
      <w:pPr>
        <w:pStyle w:val="165"/>
      </w:pPr>
      <w:r>
        <w:rPr>
          <w:rFonts w:hint="eastAsia"/>
        </w:rPr>
        <w:t>机械式钥匙或数字式钥匙和锁上不应有相关逻辑关系的可见代码。</w:t>
      </w:r>
    </w:p>
    <w:p>
      <w:pPr>
        <w:pStyle w:val="165"/>
      </w:pPr>
      <w:r>
        <w:rPr>
          <w:rFonts w:hint="eastAsia"/>
        </w:rPr>
        <w:t>有锁芯的锁的设计、制造和安装应保证当其处于锁止位置时，除用所配钥匙外，用任何工具均不能以小于2.45 N·m的扭矩转动锁芯。</w:t>
      </w:r>
    </w:p>
    <w:p>
      <w:pPr>
        <w:pStyle w:val="59"/>
        <w:ind w:firstLine="420"/>
      </w:pPr>
      <w:r>
        <w:rPr>
          <w:rFonts w:hint="eastAsia"/>
        </w:rPr>
        <w:t>对于带有销式制栓的锁芯，位置相邻、工作方向相同的制栓不能超过两个。在同一把锁中，相同的制栓不应超过总数的60%。</w:t>
      </w:r>
    </w:p>
    <w:p>
      <w:pPr>
        <w:pStyle w:val="59"/>
        <w:ind w:firstLine="420"/>
      </w:pPr>
      <w:r>
        <w:rPr>
          <w:rFonts w:hint="eastAsia"/>
        </w:rPr>
        <w:t>对于带有片式制栓的锁芯，位置相邻、工作方向相同的制栓不能超过两个。在同一把锁中，相同的制栓不应超过总数的50%。</w:t>
      </w:r>
    </w:p>
    <w:p>
      <w:pPr>
        <w:pStyle w:val="165"/>
      </w:pPr>
      <w:r>
        <w:rPr>
          <w:rFonts w:hint="eastAsia"/>
        </w:rPr>
        <w:t>防盗装置的设计，在车辆行驶时应排除任何可能危及安全的偶然性锁止的发生。</w:t>
      </w:r>
    </w:p>
    <w:p>
      <w:pPr>
        <w:pStyle w:val="165"/>
      </w:pPr>
      <w:r>
        <w:rPr>
          <w:rFonts w:hint="eastAsia"/>
        </w:rPr>
        <w:t>对于1类、2类和3类防盗装置，在处于锁止位置时，应有足够的强度以承受静态条件下绕转向柱两个方向上的200 N·m扭矩而不至引起可能危及安全的转向机构的损坏。</w:t>
      </w:r>
    </w:p>
    <w:p>
      <w:pPr>
        <w:pStyle w:val="165"/>
      </w:pPr>
      <w:r>
        <w:rPr>
          <w:rFonts w:hint="eastAsia"/>
        </w:rPr>
        <w:t>对于1类、2类和3类防盗装置，其设计应保证锁止时转向机构与车辆直线方向的左侧或右侧的夹角至少为20°。</w:t>
      </w:r>
    </w:p>
    <w:p>
      <w:pPr>
        <w:pStyle w:val="165"/>
      </w:pPr>
      <w:r>
        <w:rPr>
          <w:rFonts w:hint="eastAsia"/>
        </w:rPr>
        <w:t>对于4类防盗装置，在锁止位置上，当施加车辆最大牵引扭矩时，驱动轮不应转动。</w:t>
      </w:r>
    </w:p>
    <w:p>
      <w:pPr>
        <w:pStyle w:val="165"/>
      </w:pPr>
      <w:r>
        <w:rPr>
          <w:rFonts w:hint="eastAsia"/>
        </w:rPr>
        <w:t>对于定位装置，应具有实时定位、报送功能。在车辆位置发生非授权移动时，终端应能提供实时的经度、纬度等定位状态信息。</w:t>
      </w:r>
    </w:p>
    <w:p>
      <w:pPr>
        <w:pStyle w:val="165"/>
      </w:pPr>
      <w:r>
        <w:rPr>
          <w:rFonts w:hint="eastAsia"/>
        </w:rPr>
        <w:t>安装了定位装置的车辆在行驶过程中，该装置不能使车辆的转向机构、传动装置、动力机构发生锁止和停止运转。</w:t>
      </w:r>
    </w:p>
    <w:p>
      <w:pPr>
        <w:pStyle w:val="165"/>
      </w:pPr>
      <w:r>
        <w:rPr>
          <w:rFonts w:hint="eastAsia"/>
        </w:rPr>
        <w:t>对于定位装置在设计时的各部分都应在安装后防止被未授权人容易而迅速地接触或用不正当手段干预，被解除警戒、使之失效，或是用廉价的、容易隐蔽的、一般公众容易携带和制造的工具所破坏。</w:t>
      </w:r>
    </w:p>
    <w:p>
      <w:pPr>
        <w:pStyle w:val="165"/>
      </w:pPr>
      <w:r>
        <w:rPr>
          <w:rFonts w:hint="eastAsia"/>
        </w:rPr>
        <w:t>定位装置结构和环境适应性应满足企业设计条件如下：</w:t>
      </w:r>
    </w:p>
    <w:p>
      <w:pPr>
        <w:pStyle w:val="177"/>
        <w:numPr>
          <w:ilvl w:val="0"/>
          <w:numId w:val="32"/>
        </w:numPr>
      </w:pPr>
      <w:r>
        <w:rPr>
          <w:rFonts w:hint="eastAsia"/>
        </w:rPr>
        <w:t>工作温度： -20</w:t>
      </w:r>
      <w:r>
        <w:t xml:space="preserve"> </w:t>
      </w:r>
      <w:r>
        <w:rPr>
          <w:rFonts w:hint="eastAsia"/>
        </w:rPr>
        <w:t>℃～60</w:t>
      </w:r>
      <w:r>
        <w:t xml:space="preserve"> </w:t>
      </w:r>
      <w:r>
        <w:rPr>
          <w:rFonts w:hint="eastAsia"/>
        </w:rPr>
        <w:t>℃；</w:t>
      </w:r>
    </w:p>
    <w:p>
      <w:pPr>
        <w:pStyle w:val="177"/>
      </w:pPr>
      <w:r>
        <w:rPr>
          <w:rFonts w:hint="eastAsia"/>
        </w:rPr>
        <w:t>防护等级：防护等级按 GB/T 4208-2017描述的方法测定，满足IP 65要求；</w:t>
      </w:r>
    </w:p>
    <w:p>
      <w:pPr>
        <w:pStyle w:val="177"/>
      </w:pPr>
      <w:r>
        <w:rPr>
          <w:rFonts w:hint="eastAsia"/>
        </w:rPr>
        <w:t>电磁兼容性：按附录</w:t>
      </w:r>
      <w:r>
        <w:t>B</w:t>
      </w:r>
      <w:r>
        <w:rPr>
          <w:rFonts w:hint="eastAsia"/>
        </w:rPr>
        <w:t>描述的方法进行测试。</w:t>
      </w:r>
    </w:p>
    <w:p>
      <w:pPr>
        <w:pStyle w:val="107"/>
        <w:spacing w:before="312" w:after="312"/>
      </w:pPr>
      <w:r>
        <w:rPr>
          <w:rFonts w:hint="eastAsia"/>
        </w:rPr>
        <w:t>特殊要求</w:t>
      </w:r>
    </w:p>
    <w:p>
      <w:pPr>
        <w:pStyle w:val="165"/>
      </w:pPr>
      <w:r>
        <w:rPr>
          <w:rFonts w:hint="eastAsia"/>
        </w:rPr>
        <w:t xml:space="preserve">除一般要求外，1类至4类防盗装置还应满足以下特殊要求： </w:t>
      </w:r>
    </w:p>
    <w:p>
      <w:pPr>
        <w:pStyle w:val="177"/>
        <w:numPr>
          <w:ilvl w:val="0"/>
          <w:numId w:val="33"/>
        </w:numPr>
      </w:pPr>
      <w:r>
        <w:rPr>
          <w:rFonts w:hint="eastAsia"/>
        </w:rPr>
        <w:t>对于1类或2类的防盗装置，机械式钥匙仅在钥匙转动时车辆被锁止（数字式钥匙豁免）；方向把或转向盘处于适当的位置时，锁舌与相应的槽相接合；</w:t>
      </w:r>
    </w:p>
    <w:p>
      <w:pPr>
        <w:pStyle w:val="177"/>
      </w:pPr>
      <w:r>
        <w:rPr>
          <w:rFonts w:hint="eastAsia"/>
        </w:rPr>
        <w:t>对于3类防盗装置，它应该通过车辆部件上的单独动作或转动钥匙预先关闭锁舌。如果锁舌被预先关闭，钥匙应不能被拔出，除非与5.</w:t>
      </w:r>
      <w:r>
        <w:t xml:space="preserve">3 </w:t>
      </w:r>
      <w:r>
        <w:rPr>
          <w:rFonts w:hint="eastAsia"/>
        </w:rPr>
        <w:t>c)相一致。</w:t>
      </w:r>
    </w:p>
    <w:p>
      <w:pPr>
        <w:pStyle w:val="165"/>
      </w:pPr>
      <w:r>
        <w:rPr>
          <w:rFonts w:hint="eastAsia"/>
        </w:rPr>
        <w:t>对于2类、3类和4类防盗装置，处于发动机或电机工作的位置时，应保证其锁舌不能关闭。</w:t>
      </w:r>
    </w:p>
    <w:p>
      <w:pPr>
        <w:pStyle w:val="165"/>
      </w:pPr>
      <w:r>
        <w:rPr>
          <w:rFonts w:hint="eastAsia"/>
        </w:rPr>
        <w:t>对于3类防盗装置，处于工作位置时，应不能使其失效。</w:t>
      </w:r>
    </w:p>
    <w:p>
      <w:pPr>
        <w:pStyle w:val="165"/>
      </w:pPr>
      <w:r>
        <w:rPr>
          <w:rFonts w:hint="eastAsia"/>
        </w:rPr>
        <w:t>对于3类防盗装置，应处于良好的工作状态，按照附录</w:t>
      </w:r>
      <w:r>
        <w:t>A</w:t>
      </w:r>
      <w:r>
        <w:rPr>
          <w:rFonts w:hint="eastAsia"/>
        </w:rPr>
        <w:t>规定的试验方法在每个方向上进行2500次锁止循环试验后，仍能满足5.10、5.11、5.12和6.3条的要求。</w:t>
      </w:r>
    </w:p>
    <w:p>
      <w:pPr>
        <w:pStyle w:val="165"/>
      </w:pPr>
      <w:r>
        <w:rPr>
          <w:rFonts w:hint="eastAsia"/>
        </w:rPr>
        <w:t>对于利用全球卫星导航系统对车辆进行位置定位的定位装置，装置系统至少内置一种或多种卫星定位系统。</w:t>
      </w:r>
    </w:p>
    <w:p>
      <w:pPr>
        <w:pStyle w:val="165"/>
      </w:pPr>
      <w:r>
        <w:rPr>
          <w:rFonts w:hint="eastAsia"/>
        </w:rPr>
        <w:t>对于定位装置，空旷环境工作状态下，在HDOP≤4时达到以下精度：</w:t>
      </w:r>
    </w:p>
    <w:p>
      <w:pPr>
        <w:pStyle w:val="135"/>
      </w:pPr>
      <w:r>
        <w:rPr>
          <w:rFonts w:hint="eastAsia"/>
        </w:rPr>
        <w:t xml:space="preserve">静态水平定位精度优于10m（CEP 95%）； </w:t>
      </w:r>
    </w:p>
    <w:p>
      <w:pPr>
        <w:pStyle w:val="135"/>
      </w:pPr>
      <w:r>
        <w:rPr>
          <w:rFonts w:hint="eastAsia"/>
        </w:rPr>
        <w:t>动态水平定位精度优于10m（CEP 95%）。</w:t>
      </w:r>
    </w:p>
    <w:p>
      <w:pPr>
        <w:pStyle w:val="165"/>
      </w:pPr>
      <w:r>
        <w:rPr>
          <w:rFonts w:hint="eastAsia"/>
        </w:rPr>
        <w:t>对于定位装置，在车辆内需预留信号检测接口或预留平台检测账号，输出信号数据格式满足NEMA-0183语句格式。</w:t>
      </w:r>
    </w:p>
    <w:p>
      <w:pPr>
        <w:pStyle w:val="165"/>
      </w:pPr>
      <w:r>
        <w:rPr>
          <w:rFonts w:hint="eastAsia"/>
        </w:rPr>
        <w:t>卫星定位性能按附录</w:t>
      </w:r>
      <w:r>
        <w:t>C</w:t>
      </w:r>
      <w:r>
        <w:rPr>
          <w:rFonts w:hint="eastAsia"/>
        </w:rPr>
        <w:t>描述的方法进行测试。</w:t>
      </w:r>
    </w:p>
    <w:p>
      <w:pPr>
        <w:pStyle w:val="107"/>
        <w:spacing w:before="312" w:after="312"/>
      </w:pPr>
      <w:r>
        <w:rPr>
          <w:rFonts w:hint="eastAsia"/>
        </w:rPr>
        <w:t>标准实施过渡期</w:t>
      </w:r>
    </w:p>
    <w:p>
      <w:pPr>
        <w:pStyle w:val="59"/>
        <w:ind w:firstLine="420"/>
      </w:pPr>
      <w:r>
        <w:rPr>
          <w:rFonts w:hint="eastAsia"/>
        </w:rPr>
        <w:t>对于新申请型式批准的产品，</w:t>
      </w:r>
      <w:r>
        <w:rPr>
          <w:rFonts w:hint="eastAsia" w:hAnsi="宋体"/>
        </w:rPr>
        <w:t>自本文件实施之日起开始执行</w:t>
      </w:r>
      <w:r>
        <w:rPr>
          <w:rFonts w:hint="eastAsia"/>
        </w:rPr>
        <w:t>。</w:t>
      </w:r>
    </w:p>
    <w:p>
      <w:pPr>
        <w:pStyle w:val="59"/>
        <w:ind w:firstLine="420"/>
        <w:sectPr>
          <w:pgSz w:w="11906" w:h="16838"/>
          <w:pgMar w:top="2410" w:right="1134" w:bottom="1134" w:left="1134" w:header="1418" w:footer="1134" w:gutter="284"/>
          <w:pgNumType w:start="1"/>
          <w:cols w:space="425" w:num="1"/>
          <w:formProt w:val="0"/>
          <w:docGrid w:type="lines" w:linePitch="312" w:charSpace="0"/>
        </w:sectPr>
      </w:pPr>
      <w:r>
        <w:rPr>
          <w:rFonts w:hint="eastAsia"/>
        </w:rPr>
        <w:t>对于已获得型式批准的产品，</w:t>
      </w:r>
      <w:r>
        <w:rPr>
          <w:rFonts w:hint="eastAsia" w:hAnsi="宋体"/>
        </w:rPr>
        <w:t>自本文件实施</w:t>
      </w:r>
      <w:bookmarkStart w:id="46" w:name="_GoBack"/>
      <w:bookmarkEnd w:id="46"/>
      <w:r>
        <w:rPr>
          <w:rFonts w:hint="eastAsia" w:hAnsi="宋体"/>
        </w:rPr>
        <w:t>之日起第</w:t>
      </w:r>
      <w:r>
        <w:rPr>
          <w:rFonts w:hint="eastAsia" w:hAnsi="宋体"/>
          <w:lang w:val="en-US" w:eastAsia="zh-CN"/>
        </w:rPr>
        <w:t>13</w:t>
      </w:r>
      <w:r>
        <w:rPr>
          <w:rFonts w:hint="eastAsia" w:hAnsi="宋体"/>
        </w:rPr>
        <w:t>个月开始执行</w:t>
      </w:r>
      <w:r>
        <w:rPr>
          <w:rFonts w:hint="eastAsia"/>
        </w:rPr>
        <w:t>。</w:t>
      </w:r>
    </w:p>
    <w:bookmarkEnd w:id="20"/>
    <w:p>
      <w:pPr>
        <w:pStyle w:val="201"/>
        <w:rPr>
          <w:vanish w:val="0"/>
        </w:rPr>
      </w:pPr>
      <w:bookmarkStart w:id="40" w:name="BookMark5"/>
    </w:p>
    <w:p>
      <w:pPr>
        <w:pStyle w:val="202"/>
        <w:rPr>
          <w:vanish w:val="0"/>
        </w:rPr>
      </w:pPr>
    </w:p>
    <w:p>
      <w:pPr>
        <w:pStyle w:val="79"/>
        <w:spacing w:before="78" w:after="156"/>
      </w:pPr>
      <w:r>
        <w:br w:type="textWrapping"/>
      </w:r>
      <w:r>
        <w:rPr>
          <w:rFonts w:hint="eastAsia"/>
        </w:rPr>
        <w:t>（规范性）</w:t>
      </w:r>
      <w:r>
        <w:br w:type="textWrapping"/>
      </w:r>
      <w:r>
        <w:rPr>
          <w:rFonts w:hint="eastAsia"/>
        </w:rPr>
        <w:t>3类防盗装置的循环试验</w:t>
      </w:r>
    </w:p>
    <w:p>
      <w:pPr>
        <w:pStyle w:val="81"/>
        <w:spacing w:before="156" w:after="156"/>
      </w:pPr>
      <w:r>
        <w:rPr>
          <w:rFonts w:hint="eastAsia"/>
        </w:rPr>
        <w:t>试验设备</w:t>
      </w:r>
    </w:p>
    <w:p>
      <w:pPr>
        <w:pStyle w:val="215"/>
      </w:pPr>
      <w:r>
        <w:rPr>
          <w:rFonts w:hint="eastAsia"/>
        </w:rPr>
        <w:t>用于安装带有防盗装置的转向机构样品的夹具。</w:t>
      </w:r>
    </w:p>
    <w:p>
      <w:pPr>
        <w:pStyle w:val="215"/>
      </w:pPr>
      <w:r>
        <w:rPr>
          <w:rFonts w:hint="eastAsia"/>
        </w:rPr>
        <w:t>用钥匙开启或关闭防盗装装置的装置。</w:t>
      </w:r>
    </w:p>
    <w:p>
      <w:pPr>
        <w:pStyle w:val="215"/>
      </w:pPr>
      <w:r>
        <w:rPr>
          <w:rFonts w:hint="eastAsia"/>
        </w:rPr>
        <w:t>用于使方向柱相对于防盗装置转动的装置。</w:t>
      </w:r>
    </w:p>
    <w:p>
      <w:pPr>
        <w:pStyle w:val="81"/>
        <w:spacing w:before="156" w:after="156"/>
      </w:pPr>
      <w:r>
        <w:rPr>
          <w:rFonts w:hint="eastAsia"/>
        </w:rPr>
        <w:t>试验方法</w:t>
      </w:r>
    </w:p>
    <w:p>
      <w:pPr>
        <w:pStyle w:val="215"/>
      </w:pPr>
      <w:r>
        <w:rPr>
          <w:rFonts w:hint="eastAsia"/>
        </w:rPr>
        <w:t>将带有防盗装置的转向机构的样品安装在</w:t>
      </w:r>
      <w:r>
        <w:t>A</w:t>
      </w:r>
      <w:r>
        <w:rPr>
          <w:rFonts w:hint="eastAsia"/>
        </w:rPr>
        <w:t>.1.1中所述的夹具上。</w:t>
      </w:r>
    </w:p>
    <w:p>
      <w:pPr>
        <w:pStyle w:val="215"/>
        <w:rPr>
          <w:lang w:val="en-GB"/>
        </w:rPr>
      </w:pPr>
      <w:r>
        <w:rPr>
          <w:rFonts w:hint="eastAsia"/>
          <w:lang w:val="en-GB"/>
        </w:rPr>
        <w:t>试验程序的一个循环应包括下列步骤：</w:t>
      </w:r>
    </w:p>
    <w:p>
      <w:pPr>
        <w:pStyle w:val="177"/>
        <w:numPr>
          <w:ilvl w:val="0"/>
          <w:numId w:val="34"/>
        </w:numPr>
      </w:pPr>
      <w:r>
        <w:rPr>
          <w:rFonts w:hint="eastAsia"/>
        </w:rPr>
        <w:t>将防盗装置开启，并将方向柱转到一个防盗装置不能锁止的位置；</w:t>
      </w:r>
    </w:p>
    <w:p>
      <w:pPr>
        <w:pStyle w:val="177"/>
      </w:pPr>
      <w:r>
        <w:rPr>
          <w:rFonts w:hint="eastAsia"/>
        </w:rPr>
        <w:t>用钥匙将防盗装置从开启位置转到锁止位置；</w:t>
      </w:r>
    </w:p>
    <w:p>
      <w:pPr>
        <w:pStyle w:val="177"/>
      </w:pPr>
      <w:r>
        <w:rPr>
          <w:rFonts w:hint="eastAsia"/>
        </w:rPr>
        <w:t>转动方向柱，保证在防盗装置接合的瞬间作用在其上面的扭矩为5.88</w:t>
      </w:r>
      <w:r>
        <w:t xml:space="preserve"> </w:t>
      </w:r>
      <w:r>
        <w:rPr>
          <w:rFonts w:hint="eastAsia"/>
        </w:rPr>
        <w:t>N·m±0.25</w:t>
      </w:r>
      <w:r>
        <w:t xml:space="preserve"> </w:t>
      </w:r>
      <w:r>
        <w:rPr>
          <w:rFonts w:hint="eastAsia"/>
        </w:rPr>
        <w:t>N·m；</w:t>
      </w:r>
    </w:p>
    <w:p>
      <w:pPr>
        <w:pStyle w:val="177"/>
      </w:pPr>
      <w:r>
        <w:rPr>
          <w:rFonts w:hint="eastAsia"/>
        </w:rPr>
        <w:t>打开防盗装置，为了使开启方便，将扭矩降至0；</w:t>
      </w:r>
    </w:p>
    <w:p>
      <w:pPr>
        <w:pStyle w:val="177"/>
      </w:pPr>
      <w:r>
        <w:rPr>
          <w:rFonts w:hint="eastAsia"/>
        </w:rPr>
        <w:t>将方向柱转到一个防盗装置不能锁止的位置；</w:t>
      </w:r>
    </w:p>
    <w:p>
      <w:pPr>
        <w:pStyle w:val="177"/>
      </w:pPr>
      <w:r>
        <w:rPr>
          <w:rFonts w:hint="eastAsia"/>
        </w:rPr>
        <w:t>以相反的方向转动方向柱，重复</w:t>
      </w:r>
      <w:r>
        <w:t>A</w:t>
      </w:r>
      <w:r>
        <w:rPr>
          <w:rFonts w:hint="eastAsia"/>
        </w:rPr>
        <w:t>.2.2</w:t>
      </w:r>
      <w:r>
        <w:t>b</w:t>
      </w:r>
      <w:r>
        <w:rPr>
          <w:rFonts w:hint="eastAsia"/>
        </w:rPr>
        <w:t>)、</w:t>
      </w:r>
      <w:r>
        <w:t>A</w:t>
      </w:r>
      <w:r>
        <w:rPr>
          <w:rFonts w:hint="eastAsia"/>
        </w:rPr>
        <w:t>.2.2</w:t>
      </w:r>
      <w:r>
        <w:t>c</w:t>
      </w:r>
      <w:r>
        <w:rPr>
          <w:rFonts w:hint="eastAsia"/>
        </w:rPr>
        <w:t>)、</w:t>
      </w:r>
      <w:r>
        <w:t>A</w:t>
      </w:r>
      <w:r>
        <w:rPr>
          <w:rFonts w:hint="eastAsia"/>
        </w:rPr>
        <w:t>.2.2</w:t>
      </w:r>
      <w:r>
        <w:t>d</w:t>
      </w:r>
      <w:r>
        <w:rPr>
          <w:rFonts w:hint="eastAsia"/>
        </w:rPr>
        <w:t>)、</w:t>
      </w:r>
      <w:r>
        <w:t>A</w:t>
      </w:r>
      <w:r>
        <w:rPr>
          <w:rFonts w:hint="eastAsia"/>
        </w:rPr>
        <w:t>.2.2</w:t>
      </w:r>
      <w:r>
        <w:t>e</w:t>
      </w:r>
      <w:r>
        <w:rPr>
          <w:rFonts w:hint="eastAsia"/>
        </w:rPr>
        <w:t>)的步骤；</w:t>
      </w:r>
    </w:p>
    <w:p>
      <w:pPr>
        <w:pStyle w:val="177"/>
      </w:pPr>
      <w:r>
        <w:rPr>
          <w:rFonts w:hint="eastAsia"/>
        </w:rPr>
        <w:t>连续两次接合的时间间隔应至少为10</w:t>
      </w:r>
      <w:r>
        <w:t xml:space="preserve"> </w:t>
      </w:r>
      <w:r>
        <w:rPr>
          <w:rFonts w:hint="eastAsia"/>
        </w:rPr>
        <w:t>s。</w:t>
      </w:r>
    </w:p>
    <w:p>
      <w:pPr>
        <w:pStyle w:val="215"/>
        <w:sectPr>
          <w:pgSz w:w="11906" w:h="16838"/>
          <w:pgMar w:top="2410" w:right="1134" w:bottom="1134" w:left="1134" w:header="1418" w:footer="1134" w:gutter="284"/>
          <w:cols w:space="425" w:num="1"/>
          <w:formProt w:val="0"/>
          <w:docGrid w:type="lines" w:linePitch="312" w:charSpace="0"/>
        </w:sectPr>
      </w:pPr>
      <w:r>
        <w:rPr>
          <w:rFonts w:hint="eastAsia"/>
        </w:rPr>
        <w:t>按6.4的规定次数进行循环试验。</w:t>
      </w:r>
    </w:p>
    <w:p>
      <w:pPr>
        <w:pStyle w:val="201"/>
        <w:rPr>
          <w:vanish w:val="0"/>
        </w:rPr>
      </w:pPr>
    </w:p>
    <w:p>
      <w:pPr>
        <w:pStyle w:val="202"/>
        <w:rPr>
          <w:vanish w:val="0"/>
        </w:rPr>
      </w:pPr>
    </w:p>
    <w:p>
      <w:pPr>
        <w:pStyle w:val="79"/>
        <w:spacing w:before="78" w:after="156"/>
      </w:pPr>
      <w:r>
        <w:br w:type="textWrapping"/>
      </w:r>
      <w:r>
        <w:rPr>
          <w:rFonts w:hint="eastAsia"/>
        </w:rPr>
        <w:t>（规范性）</w:t>
      </w:r>
      <w:r>
        <w:br w:type="textWrapping"/>
      </w:r>
      <w:r>
        <w:rPr>
          <w:rFonts w:hint="eastAsia"/>
        </w:rPr>
        <w:t>定位装置的电磁兼容性试验</w:t>
      </w:r>
    </w:p>
    <w:p>
      <w:pPr>
        <w:pStyle w:val="81"/>
        <w:spacing w:before="156" w:after="156"/>
      </w:pPr>
      <w:r>
        <w:rPr>
          <w:rFonts w:hint="eastAsia"/>
        </w:rPr>
        <w:t>试验内容</w:t>
      </w:r>
    </w:p>
    <w:p>
      <w:pPr>
        <w:pStyle w:val="82"/>
        <w:spacing w:before="156" w:after="156"/>
      </w:pPr>
      <w:bookmarkStart w:id="41" w:name="_Hlk75091336"/>
      <w:r>
        <w:rPr>
          <w:rFonts w:hint="eastAsia"/>
        </w:rPr>
        <w:t>电磁抗扰性测试</w:t>
      </w:r>
      <w:bookmarkEnd w:id="41"/>
    </w:p>
    <w:p>
      <w:pPr>
        <w:pStyle w:val="59"/>
        <w:ind w:firstLine="420"/>
      </w:pPr>
      <w:r>
        <w:rPr>
          <w:rFonts w:hint="eastAsia"/>
        </w:rPr>
        <w:t>定位装置应经受的电磁兼容性试验有：</w:t>
      </w:r>
    </w:p>
    <w:p>
      <w:pPr>
        <w:pStyle w:val="135"/>
      </w:pPr>
      <w:r>
        <w:rPr>
          <w:rFonts w:cstheme="minorBidi"/>
          <w:kern w:val="2"/>
          <w:szCs w:val="24"/>
        </w:rPr>
        <w:t>GB 34660-2017</w:t>
      </w:r>
      <w:r>
        <w:rPr>
          <w:rFonts w:hint="eastAsia"/>
        </w:rPr>
        <w:t xml:space="preserve"> 道路车辆电磁兼容性要求和试验方法</w:t>
      </w:r>
    </w:p>
    <w:p>
      <w:pPr>
        <w:pStyle w:val="135"/>
      </w:pPr>
      <w:r>
        <w:rPr>
          <w:rFonts w:cs="Calibri"/>
        </w:rPr>
        <w:t>GB/</w:t>
      </w:r>
      <w:r>
        <w:rPr>
          <w:rFonts w:cstheme="minorBidi"/>
          <w:kern w:val="2"/>
          <w:szCs w:val="24"/>
        </w:rPr>
        <w:t>T 33012.2-</w:t>
      </w:r>
      <w:r>
        <w:rPr>
          <w:rFonts w:cs="Calibri"/>
        </w:rPr>
        <w:t>2016</w:t>
      </w:r>
      <w:r>
        <w:rPr>
          <w:rFonts w:hint="eastAsia"/>
        </w:rPr>
        <w:t xml:space="preserve"> 道路车辆 车辆对窄带辐射电磁能的抗扰性试验方法 第二部分：车外辐射源法</w:t>
      </w:r>
    </w:p>
    <w:p>
      <w:pPr>
        <w:pStyle w:val="81"/>
        <w:spacing w:before="156" w:after="156"/>
      </w:pPr>
      <w:r>
        <w:rPr>
          <w:rFonts w:hint="eastAsia"/>
        </w:rPr>
        <w:t>试验方法</w:t>
      </w:r>
    </w:p>
    <w:p>
      <w:pPr>
        <w:pStyle w:val="215"/>
      </w:pPr>
      <w:bookmarkStart w:id="42" w:name="_Hlk75091355"/>
      <w:r>
        <w:rPr>
          <w:rFonts w:hint="eastAsia"/>
        </w:rPr>
        <w:t>在原有车辆电波暗室设备的基础上，需要增加与车载GPS定位系统建立卫星信号连接的测试设备，采用卫星信号模拟器进行动态定位工况模拟。</w:t>
      </w:r>
    </w:p>
    <w:p>
      <w:pPr>
        <w:pStyle w:val="215"/>
      </w:pPr>
      <w:r>
        <w:rPr>
          <w:rFonts w:hint="eastAsia"/>
        </w:rPr>
        <w:t>在车辆进入暗室前，测试设备准备就绪。暗室内安装信号放大装置，将外部的2G/4G网络引入暗室内部，以便于云端数据的传输，并且采用矢量信号发生器装置，能够在试验过程中模拟发出虚拟的动态定位信息。</w:t>
      </w:r>
    </w:p>
    <w:p>
      <w:pPr>
        <w:pStyle w:val="215"/>
      </w:pPr>
      <w:r>
        <w:rPr>
          <w:rFonts w:hint="eastAsia"/>
        </w:rPr>
        <w:t>车辆进入暗室后，调节信号模拟器参数，调整链路功率大小，确保链路连接稳定，车载卫星接收机电平处于接收机动态范围内，车辆上电，确保车载GPS能够正常工作。</w:t>
      </w:r>
    </w:p>
    <w:p>
      <w:pPr>
        <w:pStyle w:val="215"/>
      </w:pPr>
      <w:r>
        <w:rPr>
          <w:rFonts w:hint="eastAsia"/>
        </w:rPr>
        <w:t>根据上述标准法规中所规定的技术参数进行试验（见下表试验技术方案），试验时长为10分钟，测试过程中，记录并关注云端输出的参数。</w:t>
      </w:r>
    </w:p>
    <w:bookmarkEnd w:id="42"/>
    <w:tbl>
      <w:tblPr>
        <w:tblStyle w:val="28"/>
        <w:tblW w:w="97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40"/>
        <w:gridCol w:w="900"/>
        <w:gridCol w:w="720"/>
        <w:gridCol w:w="1618"/>
        <w:gridCol w:w="709"/>
        <w:gridCol w:w="709"/>
        <w:gridCol w:w="708"/>
        <w:gridCol w:w="709"/>
        <w:gridCol w:w="14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shd w:val="clear" w:color="auto" w:fill="auto"/>
            <w:vAlign w:val="center"/>
          </w:tcPr>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场强(V/m)</w:t>
            </w:r>
          </w:p>
        </w:tc>
        <w:tc>
          <w:tcPr>
            <w:tcW w:w="1340" w:type="dxa"/>
            <w:shd w:val="clear" w:color="auto" w:fill="auto"/>
            <w:vAlign w:val="center"/>
          </w:tcPr>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频率范围</w:t>
            </w:r>
          </w:p>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(MHz)</w:t>
            </w:r>
          </w:p>
        </w:tc>
        <w:tc>
          <w:tcPr>
            <w:tcW w:w="900" w:type="dxa"/>
            <w:shd w:val="clear" w:color="auto" w:fill="auto"/>
            <w:vAlign w:val="center"/>
          </w:tcPr>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步进</w:t>
            </w:r>
          </w:p>
        </w:tc>
        <w:tc>
          <w:tcPr>
            <w:tcW w:w="720" w:type="dxa"/>
            <w:shd w:val="clear" w:color="auto" w:fill="auto"/>
            <w:vAlign w:val="center"/>
          </w:tcPr>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驻留</w:t>
            </w:r>
          </w:p>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时间(s)</w:t>
            </w:r>
          </w:p>
        </w:tc>
        <w:tc>
          <w:tcPr>
            <w:tcW w:w="1618" w:type="dxa"/>
            <w:shd w:val="clear" w:color="auto" w:fill="auto"/>
            <w:vAlign w:val="center"/>
          </w:tcPr>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调制方式</w:t>
            </w:r>
          </w:p>
        </w:tc>
        <w:tc>
          <w:tcPr>
            <w:tcW w:w="709" w:type="dxa"/>
            <w:shd w:val="clear" w:color="auto" w:fill="auto"/>
            <w:vAlign w:val="center"/>
          </w:tcPr>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测试</w:t>
            </w:r>
          </w:p>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距离(m)</w:t>
            </w:r>
          </w:p>
        </w:tc>
        <w:tc>
          <w:tcPr>
            <w:tcW w:w="709" w:type="dxa"/>
            <w:shd w:val="clear" w:color="auto" w:fill="auto"/>
            <w:vAlign w:val="center"/>
          </w:tcPr>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天线</w:t>
            </w:r>
          </w:p>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高度</w:t>
            </w:r>
          </w:p>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(m)</w:t>
            </w:r>
          </w:p>
        </w:tc>
        <w:tc>
          <w:tcPr>
            <w:tcW w:w="708" w:type="dxa"/>
            <w:shd w:val="clear" w:color="auto" w:fill="auto"/>
            <w:vAlign w:val="center"/>
          </w:tcPr>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天线</w:t>
            </w:r>
          </w:p>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极化</w:t>
            </w:r>
          </w:p>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方向</w:t>
            </w:r>
          </w:p>
        </w:tc>
        <w:tc>
          <w:tcPr>
            <w:tcW w:w="709" w:type="dxa"/>
            <w:shd w:val="clear" w:color="auto" w:fill="auto"/>
            <w:vAlign w:val="center"/>
          </w:tcPr>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天线</w:t>
            </w:r>
          </w:p>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倾角</w:t>
            </w:r>
          </w:p>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w:t>
            </w:r>
          </w:p>
        </w:tc>
        <w:tc>
          <w:tcPr>
            <w:tcW w:w="1475" w:type="dxa"/>
            <w:shd w:val="clear" w:color="auto" w:fill="auto"/>
            <w:vAlign w:val="center"/>
          </w:tcPr>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测试过程中被测样品的运行状态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68" w:type="dxa"/>
            <w:vMerge w:val="restart"/>
            <w:shd w:val="clear" w:color="auto" w:fill="auto"/>
            <w:vAlign w:val="center"/>
          </w:tcPr>
          <w:p>
            <w:pPr>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36</w:t>
            </w:r>
          </w:p>
        </w:tc>
        <w:tc>
          <w:tcPr>
            <w:tcW w:w="1340" w:type="dxa"/>
            <w:shd w:val="clear" w:color="auto" w:fill="auto"/>
            <w:vAlign w:val="center"/>
          </w:tcPr>
          <w:p>
            <w:pPr>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20~220</w:t>
            </w:r>
          </w:p>
        </w:tc>
        <w:tc>
          <w:tcPr>
            <w:tcW w:w="900" w:type="dxa"/>
            <w:vMerge w:val="restart"/>
            <w:shd w:val="clear" w:color="auto" w:fill="auto"/>
            <w:vAlign w:val="center"/>
          </w:tcPr>
          <w:p>
            <w:pPr>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2%</w:t>
            </w:r>
          </w:p>
        </w:tc>
        <w:tc>
          <w:tcPr>
            <w:tcW w:w="720" w:type="dxa"/>
            <w:vMerge w:val="restart"/>
            <w:shd w:val="clear" w:color="auto" w:fill="auto"/>
            <w:vAlign w:val="center"/>
          </w:tcPr>
          <w:p>
            <w:pPr>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2</w:t>
            </w:r>
          </w:p>
        </w:tc>
        <w:tc>
          <w:tcPr>
            <w:tcW w:w="1618" w:type="dxa"/>
            <w:vMerge w:val="restart"/>
            <w:shd w:val="clear" w:color="auto" w:fill="auto"/>
            <w:vAlign w:val="center"/>
          </w:tcPr>
          <w:p>
            <w:pPr>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AM</w:t>
            </w:r>
          </w:p>
          <w:p>
            <w:pPr>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(1kHz, 80%)</w:t>
            </w:r>
          </w:p>
        </w:tc>
        <w:tc>
          <w:tcPr>
            <w:tcW w:w="709" w:type="dxa"/>
            <w:vMerge w:val="restart"/>
            <w:shd w:val="clear" w:color="auto" w:fill="auto"/>
            <w:vAlign w:val="center"/>
          </w:tcPr>
          <w:p>
            <w:pPr>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2</w:t>
            </w:r>
          </w:p>
        </w:tc>
        <w:tc>
          <w:tcPr>
            <w:tcW w:w="709" w:type="dxa"/>
            <w:shd w:val="clear" w:color="auto" w:fill="auto"/>
            <w:vAlign w:val="center"/>
          </w:tcPr>
          <w:p>
            <w:pPr>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1.9</w:t>
            </w:r>
          </w:p>
        </w:tc>
        <w:tc>
          <w:tcPr>
            <w:tcW w:w="708" w:type="dxa"/>
            <w:vMerge w:val="restart"/>
            <w:shd w:val="clear" w:color="auto" w:fill="auto"/>
            <w:vAlign w:val="center"/>
          </w:tcPr>
          <w:p>
            <w:pPr>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垂直</w:t>
            </w:r>
          </w:p>
          <w:p>
            <w:pPr>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极化</w:t>
            </w:r>
          </w:p>
        </w:tc>
        <w:tc>
          <w:tcPr>
            <w:tcW w:w="709" w:type="dxa"/>
            <w:shd w:val="clear" w:color="auto" w:fill="auto"/>
            <w:vAlign w:val="center"/>
          </w:tcPr>
          <w:p>
            <w:pPr>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22</w:t>
            </w:r>
          </w:p>
        </w:tc>
        <w:tc>
          <w:tcPr>
            <w:tcW w:w="1475" w:type="dxa"/>
            <w:vMerge w:val="restart"/>
            <w:shd w:val="clear" w:color="auto" w:fill="auto"/>
            <w:vAlign w:val="center"/>
          </w:tcPr>
          <w:p>
            <w:pPr>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各系统均正常运行，未见异常。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868"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1340" w:type="dxa"/>
            <w:shd w:val="clear" w:color="auto" w:fill="auto"/>
            <w:vAlign w:val="center"/>
          </w:tcPr>
          <w:p>
            <w:pPr>
              <w:spacing w:line="480" w:lineRule="auto"/>
              <w:jc w:val="center"/>
              <w:rPr>
                <w:rFonts w:ascii="宋体" w:hAnsi="宋体"/>
                <w:color w:val="000000" w:themeColor="text1"/>
                <w:kern w:val="21"/>
                <w:sz w:val="18"/>
                <w:szCs w:val="18"/>
                <w14:textFill>
                  <w14:solidFill>
                    <w14:schemeClr w14:val="tx1"/>
                  </w14:solidFill>
                </w14:textFill>
              </w:rPr>
            </w:pPr>
            <w:r>
              <w:rPr>
                <w:rFonts w:ascii="宋体" w:hAnsi="宋体"/>
                <w:color w:val="000000" w:themeColor="text1"/>
                <w:kern w:val="21"/>
                <w:sz w:val="18"/>
                <w:szCs w:val="18"/>
                <w14:textFill>
                  <w14:solidFill>
                    <w14:schemeClr w14:val="tx1"/>
                  </w14:solidFill>
                </w14:textFill>
              </w:rPr>
              <w:t>220~800</w:t>
            </w:r>
          </w:p>
        </w:tc>
        <w:tc>
          <w:tcPr>
            <w:tcW w:w="900"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720"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1618"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709"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709" w:type="dxa"/>
            <w:vMerge w:val="restart"/>
            <w:shd w:val="clear" w:color="auto" w:fill="auto"/>
            <w:vAlign w:val="center"/>
          </w:tcPr>
          <w:p>
            <w:pPr>
              <w:spacing w:line="480" w:lineRule="auto"/>
              <w:jc w:val="center"/>
              <w:rPr>
                <w:rFonts w:ascii="宋体" w:hAnsi="宋体"/>
                <w:color w:val="000000" w:themeColor="text1"/>
                <w:kern w:val="21"/>
                <w:sz w:val="18"/>
                <w:szCs w:val="18"/>
                <w14:textFill>
                  <w14:solidFill>
                    <w14:schemeClr w14:val="tx1"/>
                  </w14:solidFill>
                </w14:textFill>
              </w:rPr>
            </w:pPr>
            <w:r>
              <w:rPr>
                <w:rFonts w:ascii="宋体" w:hAnsi="宋体"/>
                <w:color w:val="000000" w:themeColor="text1"/>
                <w:kern w:val="21"/>
                <w:sz w:val="18"/>
                <w:szCs w:val="18"/>
                <w14:textFill>
                  <w14:solidFill>
                    <w14:schemeClr w14:val="tx1"/>
                  </w14:solidFill>
                </w14:textFill>
              </w:rPr>
              <w:t>1.6</w:t>
            </w:r>
          </w:p>
        </w:tc>
        <w:tc>
          <w:tcPr>
            <w:tcW w:w="708"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709" w:type="dxa"/>
            <w:vMerge w:val="restart"/>
            <w:shd w:val="clear" w:color="auto" w:fill="auto"/>
            <w:vAlign w:val="center"/>
          </w:tcPr>
          <w:p>
            <w:pPr>
              <w:spacing w:line="480" w:lineRule="auto"/>
              <w:jc w:val="center"/>
              <w:rPr>
                <w:rFonts w:ascii="宋体" w:hAnsi="宋体"/>
                <w:color w:val="000000" w:themeColor="text1"/>
                <w:kern w:val="21"/>
                <w:sz w:val="18"/>
                <w:szCs w:val="18"/>
                <w14:textFill>
                  <w14:solidFill>
                    <w14:schemeClr w14:val="tx1"/>
                  </w14:solidFill>
                </w14:textFill>
              </w:rPr>
            </w:pPr>
            <w:r>
              <w:rPr>
                <w:rFonts w:ascii="宋体" w:hAnsi="宋体"/>
                <w:color w:val="000000" w:themeColor="text1"/>
                <w:kern w:val="21"/>
                <w:sz w:val="18"/>
                <w:szCs w:val="18"/>
                <w14:textFill>
                  <w14:solidFill>
                    <w14:schemeClr w14:val="tx1"/>
                  </w14:solidFill>
                </w14:textFill>
              </w:rPr>
              <w:t>13</w:t>
            </w:r>
          </w:p>
        </w:tc>
        <w:tc>
          <w:tcPr>
            <w:tcW w:w="1475"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8"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1340" w:type="dxa"/>
            <w:shd w:val="clear" w:color="auto" w:fill="auto"/>
            <w:vAlign w:val="center"/>
          </w:tcPr>
          <w:p>
            <w:pPr>
              <w:jc w:val="center"/>
              <w:rPr>
                <w:rFonts w:ascii="宋体" w:hAnsi="宋体"/>
                <w:color w:val="000000" w:themeColor="text1"/>
                <w:kern w:val="21"/>
                <w:sz w:val="18"/>
                <w:szCs w:val="18"/>
                <w14:textFill>
                  <w14:solidFill>
                    <w14:schemeClr w14:val="tx1"/>
                  </w14:solidFill>
                </w14:textFill>
              </w:rPr>
            </w:pPr>
            <w:r>
              <w:rPr>
                <w:rFonts w:ascii="宋体" w:hAnsi="宋体"/>
                <w:color w:val="000000" w:themeColor="text1"/>
                <w:kern w:val="21"/>
                <w:sz w:val="18"/>
                <w:szCs w:val="18"/>
                <w14:textFill>
                  <w14:solidFill>
                    <w14:schemeClr w14:val="tx1"/>
                  </w14:solidFill>
                </w14:textFill>
              </w:rPr>
              <w:t>800~1000</w:t>
            </w:r>
          </w:p>
        </w:tc>
        <w:tc>
          <w:tcPr>
            <w:tcW w:w="900"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720"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1618" w:type="dxa"/>
            <w:vMerge w:val="restart"/>
            <w:shd w:val="clear" w:color="auto" w:fill="auto"/>
            <w:vAlign w:val="center"/>
          </w:tcPr>
          <w:p>
            <w:pPr>
              <w:jc w:val="center"/>
              <w:rPr>
                <w:rFonts w:ascii="宋体" w:hAnsi="宋体"/>
                <w:color w:val="000000" w:themeColor="text1"/>
                <w:kern w:val="21"/>
                <w:sz w:val="18"/>
                <w:szCs w:val="18"/>
                <w14:textFill>
                  <w14:solidFill>
                    <w14:schemeClr w14:val="tx1"/>
                  </w14:solidFill>
                </w14:textFill>
              </w:rPr>
            </w:pPr>
            <w:r>
              <w:rPr>
                <w:rFonts w:ascii="宋体" w:hAnsi="宋体"/>
                <w:color w:val="000000" w:themeColor="text1"/>
                <w:kern w:val="21"/>
                <w:sz w:val="18"/>
                <w:szCs w:val="18"/>
                <w14:textFill>
                  <w14:solidFill>
                    <w14:schemeClr w14:val="tx1"/>
                  </w14:solidFill>
                </w14:textFill>
              </w:rPr>
              <w:t>PM</w:t>
            </w:r>
          </w:p>
          <w:p>
            <w:pPr>
              <w:jc w:val="center"/>
              <w:rPr>
                <w:rFonts w:ascii="宋体" w:hAnsi="宋体"/>
                <w:color w:val="000000" w:themeColor="text1"/>
                <w:kern w:val="21"/>
                <w:sz w:val="18"/>
                <w:szCs w:val="18"/>
                <w14:textFill>
                  <w14:solidFill>
                    <w14:schemeClr w14:val="tx1"/>
                  </w14:solidFill>
                </w14:textFill>
              </w:rPr>
            </w:pPr>
            <w:r>
              <w:rPr>
                <w:rFonts w:ascii="宋体" w:hAnsi="宋体"/>
                <w:color w:val="000000" w:themeColor="text1"/>
                <w:kern w:val="21"/>
                <w:sz w:val="18"/>
                <w:szCs w:val="18"/>
                <w14:textFill>
                  <w14:solidFill>
                    <w14:schemeClr w14:val="tx1"/>
                  </w14:solidFill>
                </w14:textFill>
              </w:rPr>
              <w:t>(577μs, 4600μs)</w:t>
            </w:r>
          </w:p>
        </w:tc>
        <w:tc>
          <w:tcPr>
            <w:tcW w:w="709"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709"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708"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709"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1475"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8"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1340" w:type="dxa"/>
            <w:shd w:val="clear" w:color="auto" w:fill="auto"/>
            <w:vAlign w:val="center"/>
          </w:tcPr>
          <w:p>
            <w:pPr>
              <w:spacing w:line="480" w:lineRule="auto"/>
              <w:jc w:val="center"/>
              <w:rPr>
                <w:rFonts w:ascii="宋体" w:hAnsi="宋体"/>
                <w:color w:val="000000" w:themeColor="text1"/>
                <w:kern w:val="21"/>
                <w:sz w:val="18"/>
                <w:szCs w:val="18"/>
                <w14:textFill>
                  <w14:solidFill>
                    <w14:schemeClr w14:val="tx1"/>
                  </w14:solidFill>
                </w14:textFill>
              </w:rPr>
            </w:pPr>
            <w:r>
              <w:rPr>
                <w:rFonts w:ascii="宋体" w:hAnsi="宋体"/>
                <w:color w:val="000000" w:themeColor="text1"/>
                <w:kern w:val="21"/>
                <w:sz w:val="18"/>
                <w:szCs w:val="18"/>
                <w14:textFill>
                  <w14:solidFill>
                    <w14:schemeClr w14:val="tx1"/>
                  </w14:solidFill>
                </w14:textFill>
              </w:rPr>
              <w:t>1000~2000</w:t>
            </w:r>
          </w:p>
        </w:tc>
        <w:tc>
          <w:tcPr>
            <w:tcW w:w="900"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720"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1618"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709"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709"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708"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709"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c>
          <w:tcPr>
            <w:tcW w:w="1475" w:type="dxa"/>
            <w:vMerge w:val="continue"/>
            <w:shd w:val="clear" w:color="auto" w:fill="auto"/>
            <w:vAlign w:val="center"/>
          </w:tcPr>
          <w:p>
            <w:pPr>
              <w:widowControl/>
              <w:jc w:val="left"/>
              <w:rPr>
                <w:rFonts w:ascii="宋体" w:hAnsi="宋体"/>
                <w:color w:val="000000" w:themeColor="text1"/>
                <w:kern w:val="2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29" w:hRule="atLeast"/>
          <w:jc w:val="center"/>
        </w:trPr>
        <w:tc>
          <w:tcPr>
            <w:tcW w:w="868" w:type="dxa"/>
            <w:shd w:val="clear" w:color="auto" w:fill="auto"/>
            <w:vAlign w:val="center"/>
          </w:tcPr>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r>
              <w:rPr>
                <w:rFonts w:hint="eastAsia" w:ascii="宋体" w:hAnsi="宋体"/>
                <w:color w:val="000000" w:themeColor="text1"/>
                <w:kern w:val="21"/>
                <w:sz w:val="18"/>
                <w:szCs w:val="18"/>
                <w14:textFill>
                  <w14:solidFill>
                    <w14:schemeClr w14:val="tx1"/>
                  </w14:solidFill>
                </w14:textFill>
              </w:rPr>
              <w:t>备注</w:t>
            </w:r>
          </w:p>
        </w:tc>
        <w:tc>
          <w:tcPr>
            <w:tcW w:w="8888" w:type="dxa"/>
            <w:gridSpan w:val="9"/>
            <w:shd w:val="clear" w:color="auto" w:fill="auto"/>
            <w:vAlign w:val="center"/>
          </w:tcPr>
          <w:p>
            <w:pPr>
              <w:tabs>
                <w:tab w:val="left" w:pos="3240"/>
              </w:tabs>
              <w:spacing w:before="60" w:after="60"/>
              <w:jc w:val="center"/>
              <w:rPr>
                <w:rFonts w:ascii="宋体" w:hAnsi="宋体"/>
                <w:sz w:val="18"/>
                <w:szCs w:val="18"/>
              </w:rPr>
            </w:pPr>
            <w:r>
              <w:rPr>
                <w:rFonts w:hint="eastAsia" w:ascii="宋体" w:hAnsi="宋体"/>
                <w:sz w:val="18"/>
                <w:szCs w:val="18"/>
              </w:rPr>
              <w:t>电磁抗扰性能测试布置示意图</w:t>
            </w: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sz w:val="18"/>
                <w:szCs w:val="18"/>
              </w:rPr>
            </w:pPr>
          </w:p>
          <w:p>
            <w:pPr>
              <w:tabs>
                <w:tab w:val="left" w:pos="3240"/>
              </w:tabs>
              <w:spacing w:before="60" w:after="60"/>
              <w:jc w:val="center"/>
              <w:rPr>
                <w:rFonts w:ascii="宋体" w:hAnsi="宋体"/>
                <w:color w:val="000000" w:themeColor="text1"/>
                <w:kern w:val="21"/>
                <w:sz w:val="18"/>
                <w:szCs w:val="18"/>
                <w14:textFill>
                  <w14:solidFill>
                    <w14:schemeClr w14:val="tx1"/>
                  </w14:solidFill>
                </w14:textFill>
              </w:rPr>
            </w:pPr>
          </w:p>
          <w:p>
            <w:pPr>
              <w:tabs>
                <w:tab w:val="left" w:pos="3240"/>
              </w:tabs>
              <w:spacing w:before="60" w:after="60"/>
              <w:rPr>
                <w:rFonts w:ascii="宋体" w:hAnsi="宋体"/>
                <w:color w:val="000000" w:themeColor="text1"/>
                <w:kern w:val="21"/>
                <w:sz w:val="18"/>
                <w:szCs w:val="18"/>
                <w14:textFill>
                  <w14:solidFill>
                    <w14:schemeClr w14:val="tx1"/>
                  </w14:solidFill>
                </w14:textFill>
              </w:rPr>
            </w:pPr>
          </w:p>
        </w:tc>
      </w:tr>
    </w:tbl>
    <w:p>
      <w:pPr>
        <w:pStyle w:val="81"/>
        <w:spacing w:before="156" w:after="156"/>
      </w:pPr>
      <w:r>
        <w:rPr>
          <w:rFonts w:hint="eastAsia"/>
        </w:rPr>
        <w:t>结果分析</w:t>
      </w:r>
    </w:p>
    <w:p>
      <w:pPr>
        <w:pStyle w:val="59"/>
        <w:ind w:firstLine="420"/>
      </w:pPr>
      <w:bookmarkStart w:id="43" w:name="_Hlk75091393"/>
      <w:r>
        <w:rPr>
          <w:rFonts w:hint="eastAsia"/>
        </w:rPr>
        <w:t>将信号源中的定位数据信息导出与云端平台接收到的定位信息进行时间轴上的经纬度比对，判断定位偏差距离和偏差点数，分析在试验过程中车辆</w:t>
      </w:r>
      <w:r>
        <w:rPr>
          <w:rFonts w:ascii="Calibri" w:hAnsi="Calibri" w:cs="Calibri"/>
        </w:rPr>
        <w:t>GPS</w:t>
      </w:r>
      <w:r>
        <w:rPr>
          <w:rFonts w:hint="eastAsia"/>
        </w:rPr>
        <w:t>信号实时的变化情况</w:t>
      </w:r>
      <w:bookmarkEnd w:id="43"/>
      <w:r>
        <w:rPr>
          <w:rFonts w:hint="eastAsia"/>
        </w:rPr>
        <w:t>。</w:t>
      </w:r>
    </w:p>
    <w:p>
      <w:pPr>
        <w:pStyle w:val="80"/>
        <w:spacing w:before="156" w:after="156"/>
        <w:rPr>
          <w:rFonts w:ascii="宋体" w:eastAsia="宋体"/>
        </w:rPr>
      </w:pPr>
      <w:r>
        <w:rPr>
          <w:rFonts w:hint="eastAsia"/>
        </w:rPr>
        <w:t xml:space="preserve"> 车辆抗扰试验条件和失效判定准则</w:t>
      </w:r>
    </w:p>
    <w:tbl>
      <w:tblPr>
        <w:tblStyle w:val="29"/>
        <w:tblW w:w="923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2977"/>
        <w:gridCol w:w="455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73" w:type="dxa"/>
            <w:gridSpan w:val="2"/>
            <w:tcBorders>
              <w:top w:val="single" w:color="000000" w:sz="8" w:space="0"/>
              <w:bottom w:val="single" w:color="000000" w:sz="8" w:space="0"/>
            </w:tcBorders>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车辆试验条件</w:t>
            </w:r>
          </w:p>
        </w:tc>
        <w:tc>
          <w:tcPr>
            <w:tcW w:w="4557" w:type="dxa"/>
            <w:tcBorders>
              <w:top w:val="single" w:color="000000" w:sz="8" w:space="0"/>
              <w:bottom w:val="single" w:color="000000" w:sz="8" w:space="0"/>
            </w:tcBorders>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失效判定准则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96" w:type="dxa"/>
            <w:vMerge w:val="restart"/>
            <w:tcBorders>
              <w:top w:val="single" w:color="000000" w:sz="8" w:space="0"/>
            </w:tcBorders>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参数指标</w:t>
            </w:r>
          </w:p>
        </w:tc>
        <w:tc>
          <w:tcPr>
            <w:tcW w:w="2977" w:type="dxa"/>
            <w:tcBorders>
              <w:top w:val="single" w:color="000000" w:sz="8" w:space="0"/>
            </w:tcBorders>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当前定位时间</w:t>
            </w:r>
          </w:p>
        </w:tc>
        <w:tc>
          <w:tcPr>
            <w:tcW w:w="4557" w:type="dxa"/>
            <w:tcBorders>
              <w:top w:val="single" w:color="000000" w:sz="8" w:space="0"/>
            </w:tcBorders>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当前定位时间非预期偏差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96" w:type="dxa"/>
            <w:vMerge w:val="continue"/>
            <w:shd w:val="clear" w:color="auto" w:fill="auto"/>
            <w:vAlign w:val="center"/>
          </w:tcPr>
          <w:p>
            <w:pPr>
              <w:widowControl/>
              <w:spacing w:line="240" w:lineRule="auto"/>
              <w:jc w:val="left"/>
              <w:rPr>
                <w:rFonts w:ascii="宋体" w:hAnsi="宋体" w:cs="宋体"/>
                <w:color w:val="000000"/>
                <w:sz w:val="18"/>
                <w:szCs w:val="18"/>
              </w:rPr>
            </w:pPr>
          </w:p>
        </w:tc>
        <w:tc>
          <w:tcPr>
            <w:tcW w:w="2977" w:type="dxa"/>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经纬度</w:t>
            </w:r>
          </w:p>
        </w:tc>
        <w:tc>
          <w:tcPr>
            <w:tcW w:w="4557" w:type="dxa"/>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经纬度变化超出标准中要求的范围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96" w:type="dxa"/>
            <w:vMerge w:val="continue"/>
            <w:shd w:val="clear" w:color="auto" w:fill="auto"/>
            <w:vAlign w:val="center"/>
          </w:tcPr>
          <w:p>
            <w:pPr>
              <w:widowControl/>
              <w:spacing w:line="240" w:lineRule="auto"/>
              <w:jc w:val="left"/>
              <w:rPr>
                <w:rFonts w:ascii="宋体" w:hAnsi="宋体" w:cs="宋体"/>
                <w:color w:val="000000"/>
                <w:sz w:val="18"/>
                <w:szCs w:val="18"/>
              </w:rPr>
            </w:pPr>
          </w:p>
        </w:tc>
        <w:tc>
          <w:tcPr>
            <w:tcW w:w="2977" w:type="dxa"/>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通信错误帧</w:t>
            </w:r>
          </w:p>
        </w:tc>
        <w:tc>
          <w:tcPr>
            <w:tcW w:w="4557" w:type="dxa"/>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出现通讯错误帧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96" w:type="dxa"/>
            <w:vMerge w:val="continue"/>
            <w:shd w:val="clear" w:color="auto" w:fill="auto"/>
            <w:vAlign w:val="center"/>
          </w:tcPr>
          <w:p>
            <w:pPr>
              <w:widowControl/>
              <w:spacing w:line="240" w:lineRule="auto"/>
              <w:jc w:val="left"/>
              <w:rPr>
                <w:rFonts w:ascii="宋体" w:hAnsi="宋体" w:cs="宋体"/>
                <w:color w:val="000000"/>
                <w:sz w:val="18"/>
                <w:szCs w:val="18"/>
              </w:rPr>
            </w:pPr>
          </w:p>
        </w:tc>
        <w:tc>
          <w:tcPr>
            <w:tcW w:w="2977" w:type="dxa"/>
            <w:shd w:val="clear" w:color="auto" w:fill="auto"/>
            <w:vAlign w:val="center"/>
          </w:tcPr>
          <w:p>
            <w:pPr>
              <w:widowControl/>
              <w:spacing w:line="240"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定位故障位</w:t>
            </w:r>
          </w:p>
        </w:tc>
        <w:tc>
          <w:tcPr>
            <w:tcW w:w="4557" w:type="dxa"/>
            <w:shd w:val="clear" w:color="auto" w:fill="auto"/>
            <w:vAlign w:val="center"/>
          </w:tcPr>
          <w:p>
            <w:pPr>
              <w:widowControl/>
              <w:spacing w:line="240" w:lineRule="auto"/>
              <w:jc w:val="center"/>
              <w:rPr>
                <w:rFonts w:hAnsi="宋体" w:cs="宋体"/>
                <w:color w:val="000000" w:themeColor="text1"/>
                <w:sz w:val="18"/>
                <w:szCs w:val="18"/>
                <w14:textFill>
                  <w14:solidFill>
                    <w14:schemeClr w14:val="tx1"/>
                  </w14:solidFill>
                </w14:textFill>
              </w:rPr>
            </w:pPr>
            <w:r>
              <w:rPr>
                <w:rFonts w:hint="eastAsia" w:hAnsi="宋体" w:cs="宋体"/>
                <w:color w:val="000000" w:themeColor="text1"/>
                <w:sz w:val="18"/>
                <w:szCs w:val="18"/>
                <w14:textFill>
                  <w14:solidFill>
                    <w14:schemeClr w14:val="tx1"/>
                  </w14:solidFill>
                </w14:textFill>
              </w:rPr>
              <w:t>定位故障位激活，诊断出现故障</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96" w:type="dxa"/>
            <w:vMerge w:val="restart"/>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现象指标</w:t>
            </w:r>
          </w:p>
        </w:tc>
        <w:tc>
          <w:tcPr>
            <w:tcW w:w="2977" w:type="dxa"/>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定位界面地图指针</w:t>
            </w:r>
          </w:p>
        </w:tc>
        <w:tc>
          <w:tcPr>
            <w:tcW w:w="4557" w:type="dxa"/>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定位界面地图指针非预期行为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96" w:type="dxa"/>
            <w:vMerge w:val="continue"/>
            <w:shd w:val="clear" w:color="auto" w:fill="auto"/>
            <w:vAlign w:val="center"/>
          </w:tcPr>
          <w:p>
            <w:pPr>
              <w:widowControl/>
              <w:spacing w:line="240" w:lineRule="auto"/>
              <w:jc w:val="left"/>
              <w:rPr>
                <w:rFonts w:ascii="宋体" w:hAnsi="宋体" w:cs="宋体"/>
                <w:color w:val="000000"/>
                <w:sz w:val="18"/>
                <w:szCs w:val="18"/>
              </w:rPr>
            </w:pPr>
          </w:p>
        </w:tc>
        <w:tc>
          <w:tcPr>
            <w:tcW w:w="2977" w:type="dxa"/>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卫星连接状态</w:t>
            </w:r>
          </w:p>
        </w:tc>
        <w:tc>
          <w:tcPr>
            <w:tcW w:w="4557" w:type="dxa"/>
            <w:shd w:val="clear" w:color="auto" w:fill="auto"/>
            <w:vAlign w:val="center"/>
          </w:tcPr>
          <w:p>
            <w:pPr>
              <w:widowControl/>
              <w:spacing w:line="240" w:lineRule="auto"/>
              <w:jc w:val="center"/>
              <w:rPr>
                <w:rFonts w:hAnsi="宋体" w:cs="宋体"/>
                <w:color w:val="000000"/>
                <w:sz w:val="18"/>
                <w:szCs w:val="18"/>
              </w:rPr>
            </w:pPr>
            <w:r>
              <w:rPr>
                <w:rFonts w:hint="eastAsia" w:hAnsi="宋体" w:cs="宋体"/>
                <w:color w:val="000000"/>
                <w:sz w:val="18"/>
                <w:szCs w:val="18"/>
              </w:rPr>
              <w:t>卫星连接非预期行为</w:t>
            </w:r>
          </w:p>
        </w:tc>
      </w:tr>
    </w:tbl>
    <w:p>
      <w:pPr>
        <w:pStyle w:val="81"/>
        <w:spacing w:before="156" w:after="156"/>
      </w:pPr>
      <w:r>
        <w:rPr>
          <w:rFonts w:hint="eastAsia"/>
        </w:rPr>
        <w:t>试验设备</w:t>
      </w:r>
    </w:p>
    <w:p>
      <w:pPr>
        <w:pStyle w:val="80"/>
        <w:spacing w:before="156" w:after="156"/>
      </w:pPr>
      <w:r>
        <w:t xml:space="preserve"> </w:t>
      </w:r>
      <w:r>
        <w:rPr>
          <w:rFonts w:hint="eastAsia"/>
        </w:rPr>
        <w:t>试验设备列表</w:t>
      </w:r>
    </w:p>
    <w:tbl>
      <w:tblPr>
        <w:tblStyle w:val="28"/>
        <w:tblW w:w="84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19"/>
        <w:gridCol w:w="72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tcBorders>
              <w:top w:val="single" w:color="auto" w:sz="8" w:space="0"/>
              <w:bottom w:val="single" w:color="auto" w:sz="8" w:space="0"/>
            </w:tcBorders>
            <w:shd w:val="clear" w:color="auto" w:fill="auto"/>
            <w:vAlign w:val="center"/>
          </w:tcPr>
          <w:p>
            <w:pPr>
              <w:spacing w:line="240" w:lineRule="auto"/>
              <w:jc w:val="center"/>
              <w:rPr>
                <w:rFonts w:ascii="Arial" w:hAnsi="Arial" w:cs="Arial"/>
                <w:sz w:val="18"/>
                <w:szCs w:val="18"/>
              </w:rPr>
            </w:pPr>
            <w:r>
              <w:rPr>
                <w:rFonts w:hint="eastAsia" w:ascii="Arial" w:hAnsi="Arial" w:cs="Arial"/>
                <w:sz w:val="18"/>
                <w:szCs w:val="18"/>
              </w:rPr>
              <w:t>序号</w:t>
            </w:r>
          </w:p>
        </w:tc>
        <w:tc>
          <w:tcPr>
            <w:tcW w:w="7298" w:type="dxa"/>
            <w:tcBorders>
              <w:top w:val="single" w:color="auto" w:sz="8" w:space="0"/>
              <w:bottom w:val="single" w:color="auto" w:sz="8" w:space="0"/>
            </w:tcBorders>
            <w:shd w:val="clear" w:color="auto" w:fill="auto"/>
            <w:vAlign w:val="center"/>
          </w:tcPr>
          <w:p>
            <w:pPr>
              <w:spacing w:line="240" w:lineRule="auto"/>
              <w:jc w:val="center"/>
              <w:rPr>
                <w:rFonts w:ascii="Arial" w:hAnsi="Arial" w:cs="Arial"/>
                <w:sz w:val="18"/>
                <w:szCs w:val="18"/>
              </w:rPr>
            </w:pPr>
            <w:r>
              <w:rPr>
                <w:rFonts w:hint="eastAsia" w:ascii="Arial" w:hAnsi="Arial" w:cs="Arial"/>
                <w:sz w:val="18"/>
                <w:szCs w:val="18"/>
              </w:rPr>
              <w:t>设备名称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tcBorders>
              <w:top w:val="single" w:color="auto" w:sz="8" w:space="0"/>
            </w:tcBorders>
            <w:shd w:val="clear" w:color="auto" w:fill="auto"/>
            <w:vAlign w:val="center"/>
          </w:tcPr>
          <w:p>
            <w:pPr>
              <w:spacing w:line="240" w:lineRule="auto"/>
              <w:jc w:val="center"/>
              <w:rPr>
                <w:rFonts w:ascii="Arial" w:hAnsi="Arial" w:cs="Arial"/>
                <w:sz w:val="18"/>
                <w:szCs w:val="18"/>
              </w:rPr>
            </w:pPr>
            <w:r>
              <w:rPr>
                <w:rFonts w:ascii="Arial" w:hAnsi="Arial" w:cs="Arial"/>
                <w:sz w:val="18"/>
                <w:szCs w:val="18"/>
              </w:rPr>
              <w:t>1</w:t>
            </w:r>
          </w:p>
        </w:tc>
        <w:tc>
          <w:tcPr>
            <w:tcW w:w="7298" w:type="dxa"/>
            <w:tcBorders>
              <w:top w:val="single" w:color="auto" w:sz="8" w:space="0"/>
            </w:tcBorders>
            <w:shd w:val="clear" w:color="auto" w:fill="auto"/>
            <w:vAlign w:val="center"/>
          </w:tcPr>
          <w:p>
            <w:pPr>
              <w:spacing w:before="100" w:beforeAutospacing="1" w:after="100" w:afterAutospacing="1" w:line="240" w:lineRule="auto"/>
              <w:jc w:val="center"/>
              <w:outlineLvl w:val="0"/>
              <w:rPr>
                <w:rFonts w:ascii="Arial" w:hAnsi="Arial" w:cs="Arial"/>
                <w:sz w:val="18"/>
                <w:szCs w:val="18"/>
              </w:rPr>
            </w:pPr>
            <w:r>
              <w:rPr>
                <w:rFonts w:ascii="Arial" w:hAnsi="Arial" w:cs="Arial"/>
                <w:sz w:val="18"/>
                <w:szCs w:val="18"/>
              </w:rPr>
              <w:t>EMI</w:t>
            </w:r>
            <w:r>
              <w:rPr>
                <w:rFonts w:hint="eastAsia" w:ascii="Arial" w:hAnsi="Arial" w:cs="Arial"/>
                <w:sz w:val="18"/>
                <w:szCs w:val="18"/>
              </w:rPr>
              <w:t>测量接收机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shd w:val="clear" w:color="auto" w:fill="auto"/>
            <w:vAlign w:val="center"/>
          </w:tcPr>
          <w:p>
            <w:pPr>
              <w:spacing w:line="240" w:lineRule="auto"/>
              <w:jc w:val="center"/>
              <w:rPr>
                <w:rFonts w:ascii="Arial" w:hAnsi="Arial" w:cs="Arial"/>
                <w:sz w:val="18"/>
                <w:szCs w:val="18"/>
              </w:rPr>
            </w:pPr>
            <w:r>
              <w:rPr>
                <w:rFonts w:ascii="Arial" w:hAnsi="Arial" w:cs="Arial"/>
                <w:sz w:val="18"/>
                <w:szCs w:val="18"/>
              </w:rPr>
              <w:t>2</w:t>
            </w:r>
          </w:p>
        </w:tc>
        <w:tc>
          <w:tcPr>
            <w:tcW w:w="7298" w:type="dxa"/>
            <w:shd w:val="clear" w:color="auto" w:fill="auto"/>
            <w:vAlign w:val="center"/>
          </w:tcPr>
          <w:p>
            <w:pPr>
              <w:spacing w:before="100" w:beforeAutospacing="1" w:after="100" w:afterAutospacing="1" w:line="240" w:lineRule="auto"/>
              <w:jc w:val="center"/>
              <w:outlineLvl w:val="0"/>
              <w:rPr>
                <w:rFonts w:ascii="Arial" w:hAnsi="Arial" w:cs="Arial"/>
                <w:sz w:val="18"/>
                <w:szCs w:val="18"/>
              </w:rPr>
            </w:pPr>
            <w:r>
              <w:rPr>
                <w:rFonts w:hint="eastAsia" w:ascii="Arial" w:hAnsi="Arial" w:cs="Arial"/>
                <w:sz w:val="18"/>
                <w:szCs w:val="18"/>
              </w:rPr>
              <w:t>复合天线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shd w:val="clear" w:color="auto" w:fill="auto"/>
            <w:vAlign w:val="center"/>
          </w:tcPr>
          <w:p>
            <w:pPr>
              <w:spacing w:line="240" w:lineRule="auto"/>
              <w:jc w:val="center"/>
              <w:rPr>
                <w:rFonts w:ascii="Arial" w:hAnsi="Arial" w:cs="Arial"/>
                <w:sz w:val="18"/>
                <w:szCs w:val="18"/>
              </w:rPr>
            </w:pPr>
            <w:r>
              <w:rPr>
                <w:rFonts w:ascii="Arial" w:hAnsi="Arial" w:cs="Arial"/>
                <w:sz w:val="18"/>
                <w:szCs w:val="18"/>
              </w:rPr>
              <w:t>3</w:t>
            </w:r>
          </w:p>
        </w:tc>
        <w:tc>
          <w:tcPr>
            <w:tcW w:w="7298" w:type="dxa"/>
            <w:shd w:val="clear" w:color="auto" w:fill="auto"/>
            <w:vAlign w:val="center"/>
          </w:tcPr>
          <w:p>
            <w:pPr>
              <w:spacing w:before="100" w:beforeAutospacing="1" w:after="100" w:afterAutospacing="1" w:line="240" w:lineRule="auto"/>
              <w:jc w:val="center"/>
              <w:outlineLvl w:val="0"/>
              <w:rPr>
                <w:rFonts w:ascii="Arial" w:hAnsi="Arial" w:cs="Arial"/>
                <w:sz w:val="18"/>
                <w:szCs w:val="18"/>
              </w:rPr>
            </w:pPr>
            <w:r>
              <w:rPr>
                <w:rFonts w:hint="eastAsia" w:ascii="Arial" w:hAnsi="Arial" w:cs="Arial"/>
                <w:sz w:val="18"/>
                <w:szCs w:val="18"/>
              </w:rPr>
              <w:t>矢量信号发生器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shd w:val="clear" w:color="auto" w:fill="auto"/>
            <w:vAlign w:val="center"/>
          </w:tcPr>
          <w:p>
            <w:pPr>
              <w:spacing w:line="240" w:lineRule="auto"/>
              <w:jc w:val="center"/>
              <w:rPr>
                <w:rFonts w:ascii="Arial" w:hAnsi="Arial" w:cs="Arial"/>
                <w:sz w:val="18"/>
                <w:szCs w:val="18"/>
              </w:rPr>
            </w:pPr>
            <w:r>
              <w:rPr>
                <w:rFonts w:ascii="Arial" w:hAnsi="Arial" w:cs="Arial"/>
                <w:sz w:val="18"/>
                <w:szCs w:val="18"/>
              </w:rPr>
              <w:t>4</w:t>
            </w:r>
          </w:p>
        </w:tc>
        <w:tc>
          <w:tcPr>
            <w:tcW w:w="7298" w:type="dxa"/>
            <w:shd w:val="clear" w:color="auto" w:fill="auto"/>
            <w:vAlign w:val="center"/>
          </w:tcPr>
          <w:p>
            <w:pPr>
              <w:spacing w:before="100" w:beforeAutospacing="1" w:after="100" w:afterAutospacing="1" w:line="240" w:lineRule="auto"/>
              <w:jc w:val="center"/>
              <w:outlineLvl w:val="0"/>
              <w:rPr>
                <w:rFonts w:ascii="Arial" w:hAnsi="Arial" w:cs="Arial"/>
                <w:sz w:val="18"/>
                <w:szCs w:val="18"/>
              </w:rPr>
            </w:pPr>
            <w:r>
              <w:rPr>
                <w:rFonts w:hint="eastAsia" w:ascii="Arial" w:hAnsi="Arial" w:cs="Arial"/>
                <w:sz w:val="18"/>
                <w:szCs w:val="18"/>
              </w:rPr>
              <w:t>功率放大器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shd w:val="clear" w:color="auto" w:fill="auto"/>
            <w:vAlign w:val="center"/>
          </w:tcPr>
          <w:p>
            <w:pPr>
              <w:spacing w:line="240" w:lineRule="auto"/>
              <w:jc w:val="center"/>
              <w:rPr>
                <w:rFonts w:ascii="Arial" w:hAnsi="Arial" w:cs="Arial"/>
                <w:sz w:val="18"/>
                <w:szCs w:val="18"/>
              </w:rPr>
            </w:pPr>
            <w:r>
              <w:rPr>
                <w:rFonts w:ascii="Arial" w:hAnsi="Arial" w:cs="Arial"/>
                <w:sz w:val="18"/>
                <w:szCs w:val="18"/>
              </w:rPr>
              <w:t>5</w:t>
            </w:r>
          </w:p>
        </w:tc>
        <w:tc>
          <w:tcPr>
            <w:tcW w:w="7298" w:type="dxa"/>
            <w:shd w:val="clear" w:color="auto" w:fill="auto"/>
            <w:vAlign w:val="center"/>
          </w:tcPr>
          <w:p>
            <w:pPr>
              <w:spacing w:before="100" w:beforeAutospacing="1" w:after="100" w:afterAutospacing="1" w:line="240" w:lineRule="auto"/>
              <w:jc w:val="center"/>
              <w:outlineLvl w:val="0"/>
              <w:rPr>
                <w:rFonts w:ascii="Arial" w:hAnsi="Arial" w:cs="Arial"/>
                <w:sz w:val="18"/>
                <w:szCs w:val="18"/>
              </w:rPr>
            </w:pPr>
            <w:r>
              <w:rPr>
                <w:rFonts w:hint="eastAsia" w:ascii="Arial" w:hAnsi="Arial" w:cs="Arial"/>
                <w:sz w:val="18"/>
                <w:szCs w:val="18"/>
              </w:rPr>
              <w:t>定向耦合器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shd w:val="clear" w:color="auto" w:fill="auto"/>
            <w:vAlign w:val="center"/>
          </w:tcPr>
          <w:p>
            <w:pPr>
              <w:spacing w:line="240" w:lineRule="auto"/>
              <w:jc w:val="center"/>
              <w:rPr>
                <w:rFonts w:ascii="Arial" w:hAnsi="Arial" w:cs="Arial"/>
                <w:sz w:val="18"/>
                <w:szCs w:val="18"/>
              </w:rPr>
            </w:pPr>
            <w:r>
              <w:rPr>
                <w:rFonts w:ascii="Arial" w:hAnsi="Arial" w:cs="Arial"/>
                <w:sz w:val="18"/>
                <w:szCs w:val="18"/>
              </w:rPr>
              <w:t>6</w:t>
            </w:r>
          </w:p>
        </w:tc>
        <w:tc>
          <w:tcPr>
            <w:tcW w:w="7298" w:type="dxa"/>
            <w:shd w:val="clear" w:color="auto" w:fill="auto"/>
            <w:vAlign w:val="center"/>
          </w:tcPr>
          <w:p>
            <w:pPr>
              <w:spacing w:before="100" w:beforeAutospacing="1" w:after="100" w:afterAutospacing="1" w:line="240" w:lineRule="auto"/>
              <w:jc w:val="center"/>
              <w:outlineLvl w:val="0"/>
              <w:rPr>
                <w:rFonts w:ascii="Arial" w:hAnsi="Arial" w:cs="Arial"/>
                <w:sz w:val="18"/>
                <w:szCs w:val="18"/>
              </w:rPr>
            </w:pPr>
            <w:r>
              <w:rPr>
                <w:rFonts w:hint="eastAsia" w:ascii="Arial" w:hAnsi="Arial" w:cs="Arial"/>
                <w:sz w:val="18"/>
                <w:szCs w:val="18"/>
              </w:rPr>
              <w:t>功率计</w:t>
            </w:r>
            <w:r>
              <w:rPr>
                <w:rFonts w:ascii="Arial" w:hAnsi="Arial" w:cs="Arial"/>
                <w:sz w:val="18"/>
                <w:szCs w:val="18"/>
              </w:rPr>
              <w:t>/</w:t>
            </w:r>
            <w:r>
              <w:rPr>
                <w:rFonts w:hint="eastAsia" w:ascii="Arial" w:hAnsi="Arial" w:cs="Arial"/>
                <w:sz w:val="18"/>
                <w:szCs w:val="18"/>
              </w:rPr>
              <w:t>功率传感器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shd w:val="clear" w:color="auto" w:fill="auto"/>
            <w:vAlign w:val="center"/>
          </w:tcPr>
          <w:p>
            <w:pPr>
              <w:spacing w:line="240" w:lineRule="auto"/>
              <w:jc w:val="center"/>
              <w:rPr>
                <w:rFonts w:ascii="Arial" w:hAnsi="Arial" w:cs="Arial"/>
                <w:sz w:val="18"/>
                <w:szCs w:val="18"/>
              </w:rPr>
            </w:pPr>
            <w:r>
              <w:rPr>
                <w:rFonts w:ascii="Arial" w:hAnsi="Arial" w:cs="Arial"/>
                <w:sz w:val="18"/>
                <w:szCs w:val="18"/>
              </w:rPr>
              <w:t>7</w:t>
            </w:r>
          </w:p>
        </w:tc>
        <w:tc>
          <w:tcPr>
            <w:tcW w:w="7298" w:type="dxa"/>
            <w:shd w:val="clear" w:color="auto" w:fill="auto"/>
            <w:vAlign w:val="center"/>
          </w:tcPr>
          <w:p>
            <w:pPr>
              <w:spacing w:before="100" w:beforeAutospacing="1" w:after="100" w:afterAutospacing="1" w:line="240" w:lineRule="auto"/>
              <w:jc w:val="center"/>
              <w:outlineLvl w:val="0"/>
              <w:rPr>
                <w:rFonts w:ascii="Arial" w:hAnsi="Arial" w:cs="Arial"/>
                <w:sz w:val="18"/>
                <w:szCs w:val="18"/>
              </w:rPr>
            </w:pPr>
            <w:r>
              <w:rPr>
                <w:rFonts w:hint="eastAsia" w:ascii="Arial" w:hAnsi="Arial" w:cs="Arial"/>
                <w:sz w:val="18"/>
                <w:szCs w:val="18"/>
              </w:rPr>
              <w:t>场强仪</w:t>
            </w:r>
            <w:r>
              <w:rPr>
                <w:rFonts w:ascii="Arial" w:hAnsi="Arial" w:cs="Arial"/>
                <w:sz w:val="18"/>
                <w:szCs w:val="18"/>
              </w:rPr>
              <w:t>/</w:t>
            </w:r>
            <w:r>
              <w:rPr>
                <w:rFonts w:hint="eastAsia" w:ascii="Arial" w:hAnsi="Arial" w:cs="Arial"/>
                <w:sz w:val="18"/>
                <w:szCs w:val="18"/>
              </w:rPr>
              <w:t>场强探头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shd w:val="clear" w:color="auto" w:fill="auto"/>
            <w:vAlign w:val="center"/>
          </w:tcPr>
          <w:p>
            <w:pPr>
              <w:spacing w:line="240" w:lineRule="auto"/>
              <w:jc w:val="center"/>
              <w:rPr>
                <w:rFonts w:ascii="Arial" w:hAnsi="Arial" w:cs="Arial"/>
                <w:sz w:val="18"/>
                <w:szCs w:val="18"/>
              </w:rPr>
            </w:pPr>
            <w:r>
              <w:rPr>
                <w:rFonts w:ascii="Arial" w:hAnsi="Arial" w:cs="Arial"/>
                <w:sz w:val="18"/>
                <w:szCs w:val="18"/>
              </w:rPr>
              <w:t>8</w:t>
            </w:r>
          </w:p>
        </w:tc>
        <w:tc>
          <w:tcPr>
            <w:tcW w:w="7298" w:type="dxa"/>
            <w:shd w:val="clear" w:color="auto" w:fill="auto"/>
            <w:vAlign w:val="center"/>
          </w:tcPr>
          <w:p>
            <w:pPr>
              <w:spacing w:before="100" w:beforeAutospacing="1" w:after="100" w:afterAutospacing="1" w:line="240" w:lineRule="auto"/>
              <w:jc w:val="center"/>
              <w:outlineLvl w:val="0"/>
              <w:rPr>
                <w:rFonts w:ascii="Arial" w:hAnsi="Arial" w:cs="Arial"/>
                <w:sz w:val="18"/>
                <w:szCs w:val="18"/>
              </w:rPr>
            </w:pPr>
            <w:r>
              <w:rPr>
                <w:rFonts w:hint="eastAsia" w:ascii="Arial" w:hAnsi="Arial" w:cs="Arial"/>
                <w:sz w:val="18"/>
                <w:szCs w:val="18"/>
              </w:rPr>
              <w:t>功率放大器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shd w:val="clear" w:color="auto" w:fill="auto"/>
            <w:vAlign w:val="center"/>
          </w:tcPr>
          <w:p>
            <w:pPr>
              <w:spacing w:line="240" w:lineRule="auto"/>
              <w:jc w:val="center"/>
              <w:rPr>
                <w:rFonts w:ascii="Arial" w:hAnsi="Arial" w:cs="Arial"/>
                <w:sz w:val="18"/>
                <w:szCs w:val="18"/>
              </w:rPr>
            </w:pPr>
            <w:r>
              <w:rPr>
                <w:rFonts w:ascii="Arial" w:hAnsi="Arial" w:cs="Arial"/>
                <w:sz w:val="18"/>
                <w:szCs w:val="18"/>
              </w:rPr>
              <w:t>9</w:t>
            </w:r>
          </w:p>
        </w:tc>
        <w:tc>
          <w:tcPr>
            <w:tcW w:w="7298" w:type="dxa"/>
            <w:shd w:val="clear" w:color="auto" w:fill="auto"/>
            <w:vAlign w:val="center"/>
          </w:tcPr>
          <w:p>
            <w:pPr>
              <w:spacing w:before="100" w:beforeAutospacing="1" w:after="100" w:afterAutospacing="1" w:line="240" w:lineRule="auto"/>
              <w:jc w:val="center"/>
              <w:outlineLvl w:val="0"/>
              <w:rPr>
                <w:rFonts w:ascii="Arial" w:hAnsi="Arial" w:cs="Arial"/>
                <w:sz w:val="18"/>
                <w:szCs w:val="18"/>
              </w:rPr>
            </w:pPr>
            <w:r>
              <w:rPr>
                <w:rFonts w:hint="eastAsia" w:ascii="Arial" w:hAnsi="Arial" w:cs="Arial"/>
                <w:sz w:val="18"/>
                <w:szCs w:val="18"/>
              </w:rPr>
              <w:t>功率计</w:t>
            </w:r>
            <w:r>
              <w:rPr>
                <w:rFonts w:ascii="Arial" w:hAnsi="Arial" w:cs="Arial"/>
                <w:sz w:val="18"/>
                <w:szCs w:val="18"/>
              </w:rPr>
              <w:t>/</w:t>
            </w:r>
            <w:r>
              <w:rPr>
                <w:rFonts w:hint="eastAsia" w:ascii="Arial" w:hAnsi="Arial" w:cs="Arial"/>
                <w:sz w:val="18"/>
                <w:szCs w:val="18"/>
              </w:rPr>
              <w:t>功率传感器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shd w:val="clear" w:color="auto" w:fill="auto"/>
            <w:vAlign w:val="center"/>
          </w:tcPr>
          <w:p>
            <w:pPr>
              <w:spacing w:line="240" w:lineRule="auto"/>
              <w:jc w:val="center"/>
              <w:rPr>
                <w:rFonts w:ascii="Arial" w:hAnsi="Arial" w:cs="Arial"/>
                <w:sz w:val="18"/>
                <w:szCs w:val="18"/>
              </w:rPr>
            </w:pPr>
            <w:r>
              <w:rPr>
                <w:rFonts w:ascii="Arial" w:hAnsi="Arial" w:cs="Arial"/>
                <w:sz w:val="18"/>
                <w:szCs w:val="18"/>
              </w:rPr>
              <w:t>10</w:t>
            </w:r>
          </w:p>
        </w:tc>
        <w:tc>
          <w:tcPr>
            <w:tcW w:w="7298" w:type="dxa"/>
            <w:shd w:val="clear" w:color="auto" w:fill="auto"/>
            <w:vAlign w:val="center"/>
          </w:tcPr>
          <w:p>
            <w:pPr>
              <w:spacing w:before="100" w:beforeAutospacing="1" w:after="100" w:afterAutospacing="1" w:line="240" w:lineRule="auto"/>
              <w:jc w:val="center"/>
              <w:outlineLvl w:val="0"/>
              <w:rPr>
                <w:rFonts w:ascii="Arial" w:hAnsi="Arial" w:cs="Arial"/>
                <w:sz w:val="18"/>
                <w:szCs w:val="18"/>
              </w:rPr>
            </w:pPr>
            <w:r>
              <w:rPr>
                <w:rFonts w:hint="eastAsia" w:ascii="Arial" w:hAnsi="Arial" w:cs="Arial"/>
                <w:sz w:val="18"/>
                <w:szCs w:val="18"/>
              </w:rPr>
              <w:t>对数周期天线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tcBorders>
              <w:bottom w:val="single" w:color="auto" w:sz="8" w:space="0"/>
            </w:tcBorders>
            <w:shd w:val="clear" w:color="auto" w:fill="auto"/>
            <w:vAlign w:val="center"/>
          </w:tcPr>
          <w:p>
            <w:pPr>
              <w:spacing w:line="240" w:lineRule="auto"/>
              <w:jc w:val="center"/>
              <w:rPr>
                <w:rFonts w:ascii="Arial" w:hAnsi="Arial" w:cs="Arial"/>
                <w:sz w:val="18"/>
                <w:szCs w:val="18"/>
              </w:rPr>
            </w:pPr>
            <w:r>
              <w:rPr>
                <w:rFonts w:ascii="Arial" w:hAnsi="Arial" w:cs="Arial"/>
                <w:sz w:val="18"/>
                <w:szCs w:val="18"/>
              </w:rPr>
              <w:t>11</w:t>
            </w:r>
          </w:p>
        </w:tc>
        <w:tc>
          <w:tcPr>
            <w:tcW w:w="7298" w:type="dxa"/>
            <w:tcBorders>
              <w:bottom w:val="single" w:color="auto" w:sz="8" w:space="0"/>
            </w:tcBorders>
            <w:shd w:val="clear" w:color="auto" w:fill="auto"/>
            <w:vAlign w:val="center"/>
          </w:tcPr>
          <w:p>
            <w:pPr>
              <w:spacing w:before="100" w:beforeAutospacing="1" w:after="100" w:afterAutospacing="1" w:line="240" w:lineRule="auto"/>
              <w:jc w:val="center"/>
              <w:outlineLvl w:val="0"/>
              <w:rPr>
                <w:rFonts w:ascii="Arial" w:hAnsi="Arial" w:cs="Arial"/>
                <w:sz w:val="18"/>
                <w:szCs w:val="18"/>
              </w:rPr>
            </w:pPr>
            <w:r>
              <w:rPr>
                <w:rFonts w:hint="eastAsia" w:ascii="Arial" w:hAnsi="Arial" w:cs="Arial"/>
                <w:sz w:val="18"/>
                <w:szCs w:val="18"/>
              </w:rPr>
              <w:t>信号放大器</w:t>
            </w:r>
          </w:p>
        </w:tc>
      </w:tr>
    </w:tbl>
    <w:p>
      <w:pPr>
        <w:pStyle w:val="59"/>
        <w:ind w:firstLine="420"/>
        <w:sectPr>
          <w:pgSz w:w="11906" w:h="16838"/>
          <w:pgMar w:top="2410" w:right="1134" w:bottom="1134" w:left="1134" w:header="1418" w:footer="1134" w:gutter="284"/>
          <w:cols w:space="425" w:num="1"/>
          <w:formProt w:val="0"/>
          <w:docGrid w:type="lines" w:linePitch="312" w:charSpace="0"/>
        </w:sectPr>
      </w:pPr>
    </w:p>
    <w:p>
      <w:pPr>
        <w:pStyle w:val="201"/>
        <w:rPr>
          <w:vanish w:val="0"/>
        </w:rPr>
      </w:pPr>
    </w:p>
    <w:p>
      <w:pPr>
        <w:pStyle w:val="202"/>
        <w:rPr>
          <w:vanish w:val="0"/>
        </w:rPr>
      </w:pPr>
    </w:p>
    <w:p>
      <w:pPr>
        <w:pStyle w:val="79"/>
        <w:spacing w:before="78" w:after="156"/>
      </w:pPr>
      <w:r>
        <w:br w:type="textWrapping"/>
      </w:r>
      <w:r>
        <w:rPr>
          <w:rFonts w:hint="eastAsia"/>
        </w:rPr>
        <w:t>（规范性）</w:t>
      </w:r>
      <w:r>
        <w:br w:type="textWrapping"/>
      </w:r>
      <w:r>
        <w:rPr>
          <w:rFonts w:hint="eastAsia"/>
        </w:rPr>
        <w:t>定位装置的卫星定位性能试验</w:t>
      </w:r>
    </w:p>
    <w:p>
      <w:pPr>
        <w:pStyle w:val="81"/>
        <w:spacing w:before="156" w:after="156"/>
      </w:pPr>
      <w:r>
        <w:rPr>
          <w:rFonts w:hint="eastAsia"/>
        </w:rPr>
        <w:t>试验内容</w:t>
      </w:r>
    </w:p>
    <w:p>
      <w:pPr>
        <w:pStyle w:val="82"/>
        <w:spacing w:before="156" w:after="156"/>
      </w:pPr>
      <w:bookmarkStart w:id="44" w:name="_Hlk75091425"/>
      <w:r>
        <w:rPr>
          <w:rFonts w:hint="eastAsia"/>
        </w:rPr>
        <w:t>卫星定位性能</w:t>
      </w:r>
      <w:bookmarkEnd w:id="44"/>
    </w:p>
    <w:p>
      <w:pPr>
        <w:pStyle w:val="59"/>
        <w:ind w:firstLine="420"/>
      </w:pPr>
      <w:r>
        <w:rPr>
          <w:rFonts w:hint="eastAsia"/>
        </w:rPr>
        <w:t>定位装置应经受的卫星定位性能试验有：</w:t>
      </w:r>
    </w:p>
    <w:p>
      <w:pPr>
        <w:pStyle w:val="135"/>
      </w:pPr>
      <w:r>
        <w:rPr>
          <w:rFonts w:hint="eastAsia"/>
        </w:rPr>
        <w:t>静态定位精度试验</w:t>
      </w:r>
    </w:p>
    <w:p>
      <w:pPr>
        <w:pStyle w:val="135"/>
      </w:pPr>
      <w:r>
        <w:rPr>
          <w:rFonts w:hint="eastAsia"/>
        </w:rPr>
        <w:t>动态定位精度试验</w:t>
      </w:r>
    </w:p>
    <w:p>
      <w:pPr>
        <w:pStyle w:val="81"/>
        <w:spacing w:before="156" w:after="156"/>
      </w:pPr>
      <w:r>
        <w:rPr>
          <w:rFonts w:hint="eastAsia"/>
        </w:rPr>
        <w:t>试验方法</w:t>
      </w:r>
    </w:p>
    <w:p>
      <w:pPr>
        <w:pStyle w:val="82"/>
        <w:spacing w:before="156" w:after="156"/>
      </w:pPr>
      <w:r>
        <w:rPr>
          <w:rFonts w:hint="eastAsia"/>
        </w:rPr>
        <w:t>静态定位试验</w:t>
      </w:r>
    </w:p>
    <w:p>
      <w:pPr>
        <w:pStyle w:val="59"/>
        <w:ind w:firstLine="420"/>
        <w:rPr>
          <w:rFonts w:hAnsi="宋体"/>
        </w:rPr>
      </w:pPr>
      <w:bookmarkStart w:id="45" w:name="_Hlk75091449"/>
      <w:r>
        <w:rPr>
          <w:rFonts w:hint="eastAsia"/>
        </w:rPr>
        <w:t>使用厘米级卫星导航系统，接入卫星</w:t>
      </w:r>
      <w:r>
        <w:rPr>
          <w:rFonts w:hint="eastAsia" w:hAnsi="宋体"/>
        </w:rPr>
        <w:t>信号模拟器中，在空旷环境工作状态下，连续录制1</w:t>
      </w:r>
      <w:r>
        <w:rPr>
          <w:rFonts w:hAnsi="宋体"/>
        </w:rPr>
        <w:t xml:space="preserve"> </w:t>
      </w:r>
      <w:r>
        <w:rPr>
          <w:rFonts w:hint="eastAsia" w:hAnsi="宋体"/>
        </w:rPr>
        <w:t>h以上定位数据。</w:t>
      </w:r>
    </w:p>
    <w:p>
      <w:pPr>
        <w:pStyle w:val="59"/>
        <w:ind w:firstLine="420"/>
      </w:pPr>
      <w:r>
        <w:rPr>
          <w:rFonts w:hint="eastAsia" w:hAnsi="宋体"/>
        </w:rPr>
        <w:t>将卫星信号模拟器接入被测定位装置的射频输入口，连续测试1h以上，将获取的定位数据与模拟信号标准点坐标进行比较，计算定位精度的</w:t>
      </w:r>
      <w:r>
        <w:rPr>
          <w:rFonts w:hint="eastAsia"/>
        </w:rPr>
        <w:t>标准差，应符合6.6的要求。</w:t>
      </w:r>
    </w:p>
    <w:p>
      <w:pPr>
        <w:pStyle w:val="82"/>
        <w:spacing w:before="156" w:after="156"/>
      </w:pPr>
      <w:r>
        <w:rPr>
          <w:rFonts w:hint="eastAsia"/>
        </w:rPr>
        <w:t>动态定位试验</w:t>
      </w:r>
    </w:p>
    <w:p>
      <w:pPr>
        <w:pStyle w:val="59"/>
        <w:ind w:firstLine="420"/>
      </w:pPr>
      <w:r>
        <w:rPr>
          <w:rFonts w:hint="eastAsia"/>
        </w:rPr>
        <w:t>使</w:t>
      </w:r>
      <w:r>
        <w:rPr>
          <w:rFonts w:hint="eastAsia" w:hAnsi="宋体"/>
        </w:rPr>
        <w:t>用厘米级卫星导航系统，接入卫星信号模拟器中，在空旷环境工作状态下，录制如下定位数据：</w:t>
      </w:r>
    </w:p>
    <w:p>
      <w:pPr>
        <w:pStyle w:val="177"/>
        <w:numPr>
          <w:ilvl w:val="0"/>
          <w:numId w:val="35"/>
        </w:numPr>
      </w:pPr>
      <w:r>
        <w:rPr>
          <w:rFonts w:hint="eastAsia"/>
        </w:rPr>
        <w:t>以5</w:t>
      </w:r>
      <w:r>
        <w:t xml:space="preserve"> </w:t>
      </w:r>
      <w:r>
        <w:rPr>
          <w:rFonts w:hint="eastAsia"/>
        </w:rPr>
        <w:t>m/s±1</w:t>
      </w:r>
      <w:r>
        <w:t xml:space="preserve"> </w:t>
      </w:r>
      <w:r>
        <w:rPr>
          <w:rFonts w:hint="eastAsia"/>
        </w:rPr>
        <w:t>m/s的速度，沿直线运行至少1</w:t>
      </w:r>
      <w:r>
        <w:t xml:space="preserve"> </w:t>
      </w:r>
      <w:r>
        <w:rPr>
          <w:rFonts w:hint="eastAsia"/>
        </w:rPr>
        <w:t>min～2</w:t>
      </w:r>
      <w:r>
        <w:t xml:space="preserve"> </w:t>
      </w:r>
      <w:r>
        <w:rPr>
          <w:rFonts w:hint="eastAsia"/>
        </w:rPr>
        <w:t>min，然后在5</w:t>
      </w:r>
      <w:r>
        <w:t xml:space="preserve"> </w:t>
      </w:r>
      <w:r>
        <w:rPr>
          <w:rFonts w:hint="eastAsia"/>
        </w:rPr>
        <w:t>s内沿同一直线将速度降到0；</w:t>
      </w:r>
    </w:p>
    <w:p>
      <w:pPr>
        <w:pStyle w:val="177"/>
      </w:pPr>
      <w:r>
        <w:rPr>
          <w:rFonts w:hint="eastAsia"/>
        </w:rPr>
        <w:t>以2.5</w:t>
      </w:r>
      <w:r>
        <w:t xml:space="preserve"> </w:t>
      </w:r>
      <w:r>
        <w:rPr>
          <w:rFonts w:hint="eastAsia"/>
        </w:rPr>
        <w:t>m/s±0.5</w:t>
      </w:r>
      <w:r>
        <w:t xml:space="preserve"> </w:t>
      </w:r>
      <w:r>
        <w:rPr>
          <w:rFonts w:hint="eastAsia"/>
        </w:rPr>
        <w:t>m/s的速度，在水平面沿直线运动至少100</w:t>
      </w:r>
      <w:r>
        <w:t xml:space="preserve"> </w:t>
      </w:r>
      <w:r>
        <w:rPr>
          <w:rFonts w:hint="eastAsia"/>
        </w:rPr>
        <w:t>m，并在运动中相对直线两侧以11</w:t>
      </w:r>
      <w:r>
        <w:t xml:space="preserve"> </w:t>
      </w:r>
      <w:r>
        <w:rPr>
          <w:rFonts w:hint="eastAsia"/>
        </w:rPr>
        <w:t>s～12</w:t>
      </w:r>
      <w:r>
        <w:t xml:space="preserve"> </w:t>
      </w:r>
      <w:r>
        <w:rPr>
          <w:rFonts w:hint="eastAsia"/>
        </w:rPr>
        <w:t>s 周期均匀偏移2</w:t>
      </w:r>
      <w:r>
        <w:t xml:space="preserve"> </w:t>
      </w:r>
      <w:r>
        <w:rPr>
          <w:rFonts w:hint="eastAsia"/>
        </w:rPr>
        <w:t>m，保持至少2</w:t>
      </w:r>
      <w:r>
        <w:t xml:space="preserve"> </w:t>
      </w:r>
      <w:r>
        <w:rPr>
          <w:rFonts w:hint="eastAsia"/>
        </w:rPr>
        <w:t>min。</w:t>
      </w:r>
    </w:p>
    <w:p>
      <w:pPr>
        <w:pStyle w:val="59"/>
        <w:ind w:firstLine="420"/>
        <w:rPr>
          <w:lang w:val="en-GB"/>
        </w:rPr>
      </w:pPr>
      <w:r>
        <w:rPr>
          <w:rFonts w:hint="eastAsia"/>
        </w:rPr>
        <w:t>被测定位装置接收模拟器输出的射频仿真信号，每秒钟输出一次定位数据，以模拟器仿真的用户位置作为标准位置，计算定位精度的标准差，应符合6.6的要求。</w:t>
      </w:r>
    </w:p>
    <w:bookmarkEnd w:id="45"/>
    <w:p>
      <w:pPr>
        <w:pStyle w:val="81"/>
        <w:spacing w:before="156" w:after="156"/>
      </w:pPr>
      <w:r>
        <w:rPr>
          <w:rFonts w:hint="eastAsia"/>
        </w:rPr>
        <w:t>试验设备</w:t>
      </w:r>
    </w:p>
    <w:p>
      <w:pPr>
        <w:pStyle w:val="80"/>
        <w:spacing w:before="156" w:after="156"/>
      </w:pPr>
      <w:r>
        <w:rPr>
          <w:rFonts w:hint="eastAsia"/>
        </w:rPr>
        <w:t xml:space="preserve"> 试验设备列表</w:t>
      </w:r>
    </w:p>
    <w:tbl>
      <w:tblPr>
        <w:tblStyle w:val="28"/>
        <w:tblW w:w="84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19"/>
        <w:gridCol w:w="72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tcBorders>
              <w:top w:val="single" w:color="auto" w:sz="8" w:space="0"/>
              <w:bottom w:val="single" w:color="auto" w:sz="8" w:space="0"/>
            </w:tcBorders>
            <w:shd w:val="clear" w:color="auto" w:fill="auto"/>
            <w:vAlign w:val="center"/>
          </w:tcPr>
          <w:p>
            <w:pPr>
              <w:spacing w:line="240" w:lineRule="auto"/>
              <w:jc w:val="center"/>
              <w:rPr>
                <w:rFonts w:ascii="Arial" w:hAnsi="Arial" w:cs="Arial"/>
                <w:sz w:val="18"/>
                <w:szCs w:val="18"/>
              </w:rPr>
            </w:pPr>
            <w:r>
              <w:rPr>
                <w:rFonts w:hint="eastAsia" w:ascii="Arial" w:hAnsi="Arial" w:cs="Arial"/>
                <w:sz w:val="18"/>
                <w:szCs w:val="18"/>
              </w:rPr>
              <w:t>序号</w:t>
            </w:r>
          </w:p>
        </w:tc>
        <w:tc>
          <w:tcPr>
            <w:tcW w:w="7298" w:type="dxa"/>
            <w:tcBorders>
              <w:top w:val="single" w:color="auto" w:sz="8" w:space="0"/>
              <w:bottom w:val="single" w:color="auto" w:sz="8" w:space="0"/>
            </w:tcBorders>
            <w:shd w:val="clear" w:color="auto" w:fill="auto"/>
            <w:vAlign w:val="center"/>
          </w:tcPr>
          <w:p>
            <w:pPr>
              <w:spacing w:line="240" w:lineRule="auto"/>
              <w:jc w:val="center"/>
              <w:rPr>
                <w:rFonts w:ascii="Arial" w:hAnsi="Arial" w:cs="Arial"/>
                <w:sz w:val="18"/>
                <w:szCs w:val="18"/>
              </w:rPr>
            </w:pPr>
            <w:r>
              <w:rPr>
                <w:rFonts w:hint="eastAsia" w:ascii="Arial" w:hAnsi="Arial" w:cs="Arial"/>
                <w:sz w:val="18"/>
                <w:szCs w:val="18"/>
              </w:rPr>
              <w:t>设备名称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tcBorders>
              <w:top w:val="single" w:color="auto" w:sz="8" w:space="0"/>
            </w:tcBorders>
            <w:shd w:val="clear" w:color="auto" w:fill="auto"/>
            <w:vAlign w:val="center"/>
          </w:tcPr>
          <w:p>
            <w:pPr>
              <w:spacing w:line="240" w:lineRule="auto"/>
              <w:jc w:val="center"/>
              <w:rPr>
                <w:rFonts w:ascii="Arial" w:hAnsi="Arial" w:cs="Arial"/>
                <w:sz w:val="18"/>
                <w:szCs w:val="18"/>
              </w:rPr>
            </w:pPr>
            <w:r>
              <w:rPr>
                <w:rFonts w:ascii="Arial" w:hAnsi="Arial" w:cs="Arial"/>
                <w:sz w:val="18"/>
                <w:szCs w:val="18"/>
              </w:rPr>
              <w:t>1</w:t>
            </w:r>
          </w:p>
        </w:tc>
        <w:tc>
          <w:tcPr>
            <w:tcW w:w="7298" w:type="dxa"/>
            <w:tcBorders>
              <w:top w:val="single" w:color="auto" w:sz="8" w:space="0"/>
            </w:tcBorders>
            <w:shd w:val="clear" w:color="auto" w:fill="auto"/>
            <w:vAlign w:val="center"/>
          </w:tcPr>
          <w:p>
            <w:pPr>
              <w:spacing w:before="100" w:beforeAutospacing="1" w:after="100" w:afterAutospacing="1" w:line="240" w:lineRule="auto"/>
              <w:jc w:val="center"/>
              <w:outlineLvl w:val="0"/>
              <w:rPr>
                <w:rFonts w:ascii="Arial" w:hAnsi="Arial" w:cs="Arial"/>
                <w:sz w:val="18"/>
                <w:szCs w:val="18"/>
              </w:rPr>
            </w:pPr>
            <w:r>
              <w:rPr>
                <w:rFonts w:hint="eastAsia" w:ascii="Arial" w:hAnsi="Arial" w:cs="Arial"/>
                <w:sz w:val="18"/>
                <w:szCs w:val="18"/>
              </w:rPr>
              <w:t>厘米级卫星导航系统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119" w:type="dxa"/>
            <w:shd w:val="clear" w:color="auto" w:fill="auto"/>
            <w:vAlign w:val="center"/>
          </w:tcPr>
          <w:p>
            <w:pPr>
              <w:spacing w:line="240" w:lineRule="auto"/>
              <w:jc w:val="center"/>
              <w:rPr>
                <w:rFonts w:ascii="Arial" w:hAnsi="Arial" w:cs="Arial"/>
                <w:sz w:val="18"/>
                <w:szCs w:val="18"/>
              </w:rPr>
            </w:pPr>
            <w:r>
              <w:rPr>
                <w:rFonts w:ascii="Arial" w:hAnsi="Arial" w:cs="Arial"/>
                <w:sz w:val="18"/>
                <w:szCs w:val="18"/>
              </w:rPr>
              <w:t>2</w:t>
            </w:r>
          </w:p>
        </w:tc>
        <w:tc>
          <w:tcPr>
            <w:tcW w:w="7298" w:type="dxa"/>
            <w:shd w:val="clear" w:color="auto" w:fill="auto"/>
            <w:vAlign w:val="center"/>
          </w:tcPr>
          <w:p>
            <w:pPr>
              <w:spacing w:before="100" w:beforeAutospacing="1" w:after="100" w:afterAutospacing="1" w:line="240" w:lineRule="auto"/>
              <w:jc w:val="center"/>
              <w:outlineLvl w:val="0"/>
              <w:rPr>
                <w:rFonts w:ascii="Arial" w:hAnsi="Arial" w:cs="Arial"/>
                <w:sz w:val="18"/>
                <w:szCs w:val="18"/>
              </w:rPr>
            </w:pPr>
            <w:r>
              <w:rPr>
                <w:rFonts w:hint="eastAsia" w:ascii="Arial" w:hAnsi="Arial" w:cs="Arial"/>
                <w:sz w:val="18"/>
                <w:szCs w:val="18"/>
              </w:rPr>
              <w:t>卫星信号模拟器</w:t>
            </w:r>
          </w:p>
        </w:tc>
      </w:tr>
    </w:tbl>
    <w:p>
      <w:pPr>
        <w:pStyle w:val="59"/>
        <w:ind w:firstLine="420"/>
      </w:pPr>
    </w:p>
    <w:p>
      <w:pPr>
        <w:pStyle w:val="59"/>
        <w:ind w:firstLine="420"/>
      </w:pPr>
    </w:p>
    <w:p>
      <w:pPr>
        <w:pStyle w:val="59"/>
        <w:ind w:firstLine="420"/>
      </w:pPr>
    </w:p>
    <w:p>
      <w:pPr>
        <w:pStyle w:val="59"/>
        <w:ind w:firstLine="420"/>
      </w:pPr>
    </w:p>
    <w:bookmarkEnd w:id="40"/>
    <w:p>
      <w:pPr>
        <w:pStyle w:val="59"/>
        <w:ind w:firstLine="420"/>
      </w:pPr>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等线 Light">
    <w:altName w:val="华文中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spacing w:after="0"/>
    </w:pPr>
    <w:r>
      <w:fldChar w:fldCharType="begin"/>
    </w:r>
    <w:r>
      <w:instrText xml:space="preserve"> STYLEREF  标准文件_文件编号  \* MERGEFORMAT </w:instrText>
    </w:r>
    <w:r>
      <w:fldChar w:fldCharType="separate"/>
    </w:r>
    <w:r>
      <w:t>GB 17353—XXXX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GB 17353—XXXX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851"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trackRevisions w:val="true"/>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B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4DFA"/>
    <w:rsid w:val="000359C3"/>
    <w:rsid w:val="00035A7D"/>
    <w:rsid w:val="0004249A"/>
    <w:rsid w:val="00043282"/>
    <w:rsid w:val="00044286"/>
    <w:rsid w:val="00047F28"/>
    <w:rsid w:val="000503AA"/>
    <w:rsid w:val="000506A1"/>
    <w:rsid w:val="000515DD"/>
    <w:rsid w:val="0005265A"/>
    <w:rsid w:val="000539DD"/>
    <w:rsid w:val="00053B94"/>
    <w:rsid w:val="00053BD3"/>
    <w:rsid w:val="000556ED"/>
    <w:rsid w:val="00055FE2"/>
    <w:rsid w:val="0005616F"/>
    <w:rsid w:val="00060C2E"/>
    <w:rsid w:val="00061033"/>
    <w:rsid w:val="000619E9"/>
    <w:rsid w:val="000622D4"/>
    <w:rsid w:val="0006357D"/>
    <w:rsid w:val="0006636E"/>
    <w:rsid w:val="00067F1E"/>
    <w:rsid w:val="0007099D"/>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6E6"/>
    <w:rsid w:val="000D4B9C"/>
    <w:rsid w:val="000D4EB6"/>
    <w:rsid w:val="000D753B"/>
    <w:rsid w:val="000E4C9E"/>
    <w:rsid w:val="000E54B3"/>
    <w:rsid w:val="000E6FD7"/>
    <w:rsid w:val="000F06E1"/>
    <w:rsid w:val="000F0E3C"/>
    <w:rsid w:val="000F19D5"/>
    <w:rsid w:val="000F2E41"/>
    <w:rsid w:val="000F4AEA"/>
    <w:rsid w:val="000F6501"/>
    <w:rsid w:val="000F67E9"/>
    <w:rsid w:val="001016A7"/>
    <w:rsid w:val="001043FB"/>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3BB1"/>
    <w:rsid w:val="001457E7"/>
    <w:rsid w:val="00145D9D"/>
    <w:rsid w:val="00146388"/>
    <w:rsid w:val="001529E5"/>
    <w:rsid w:val="00152C02"/>
    <w:rsid w:val="00153C7E"/>
    <w:rsid w:val="00156B25"/>
    <w:rsid w:val="00156E1A"/>
    <w:rsid w:val="00157B55"/>
    <w:rsid w:val="001642FA"/>
    <w:rsid w:val="001649EB"/>
    <w:rsid w:val="00164BAF"/>
    <w:rsid w:val="00164FA8"/>
    <w:rsid w:val="00165065"/>
    <w:rsid w:val="00165434"/>
    <w:rsid w:val="0016580B"/>
    <w:rsid w:val="00165F49"/>
    <w:rsid w:val="001668A4"/>
    <w:rsid w:val="00166B88"/>
    <w:rsid w:val="00166E1B"/>
    <w:rsid w:val="0016770A"/>
    <w:rsid w:val="00170804"/>
    <w:rsid w:val="001708E9"/>
    <w:rsid w:val="0017340B"/>
    <w:rsid w:val="00173FB1"/>
    <w:rsid w:val="00176DFD"/>
    <w:rsid w:val="0018300B"/>
    <w:rsid w:val="001852C9"/>
    <w:rsid w:val="00190087"/>
    <w:rsid w:val="001913C4"/>
    <w:rsid w:val="0019348F"/>
    <w:rsid w:val="00193A07"/>
    <w:rsid w:val="00194C95"/>
    <w:rsid w:val="00195C34"/>
    <w:rsid w:val="001A1A53"/>
    <w:rsid w:val="001A234A"/>
    <w:rsid w:val="001A7E52"/>
    <w:rsid w:val="001B06E8"/>
    <w:rsid w:val="001B71D0"/>
    <w:rsid w:val="001B71EE"/>
    <w:rsid w:val="001C04A8"/>
    <w:rsid w:val="001C22AB"/>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42EA"/>
    <w:rsid w:val="002204BB"/>
    <w:rsid w:val="00221361"/>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BD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16DD"/>
    <w:rsid w:val="003A3371"/>
    <w:rsid w:val="003A4077"/>
    <w:rsid w:val="003B09AD"/>
    <w:rsid w:val="003B0CA1"/>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66FA9"/>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1CDA"/>
    <w:rsid w:val="004B2701"/>
    <w:rsid w:val="004B2E1B"/>
    <w:rsid w:val="004B3E93"/>
    <w:rsid w:val="004C1FBC"/>
    <w:rsid w:val="004C391B"/>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4F5E"/>
    <w:rsid w:val="00505767"/>
    <w:rsid w:val="005073F0"/>
    <w:rsid w:val="00510A7B"/>
    <w:rsid w:val="00512F6E"/>
    <w:rsid w:val="00513038"/>
    <w:rsid w:val="00514174"/>
    <w:rsid w:val="00514DF9"/>
    <w:rsid w:val="00516088"/>
    <w:rsid w:val="00516B0B"/>
    <w:rsid w:val="005220EC"/>
    <w:rsid w:val="00523F95"/>
    <w:rsid w:val="00524D65"/>
    <w:rsid w:val="0052595B"/>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0234"/>
    <w:rsid w:val="00551F6F"/>
    <w:rsid w:val="00555044"/>
    <w:rsid w:val="00561475"/>
    <w:rsid w:val="005628D3"/>
    <w:rsid w:val="0056487B"/>
    <w:rsid w:val="00564FB9"/>
    <w:rsid w:val="00573D9E"/>
    <w:rsid w:val="005801E3"/>
    <w:rsid w:val="00581802"/>
    <w:rsid w:val="005836A8"/>
    <w:rsid w:val="00584262"/>
    <w:rsid w:val="00586630"/>
    <w:rsid w:val="00586BD7"/>
    <w:rsid w:val="00587ADD"/>
    <w:rsid w:val="00596160"/>
    <w:rsid w:val="005966E2"/>
    <w:rsid w:val="00597007"/>
    <w:rsid w:val="005A0966"/>
    <w:rsid w:val="005A11B7"/>
    <w:rsid w:val="005A260B"/>
    <w:rsid w:val="005A4A1B"/>
    <w:rsid w:val="005A7830"/>
    <w:rsid w:val="005A7FCE"/>
    <w:rsid w:val="005A7FD1"/>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26C39"/>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363"/>
    <w:rsid w:val="006A07AA"/>
    <w:rsid w:val="006A1898"/>
    <w:rsid w:val="006A25E5"/>
    <w:rsid w:val="006A2B46"/>
    <w:rsid w:val="006A336D"/>
    <w:rsid w:val="006A37B9"/>
    <w:rsid w:val="006A4C3D"/>
    <w:rsid w:val="006A7740"/>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7510"/>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B48"/>
    <w:rsid w:val="00750EE1"/>
    <w:rsid w:val="00752B4D"/>
    <w:rsid w:val="00755402"/>
    <w:rsid w:val="00756B26"/>
    <w:rsid w:val="00756EDF"/>
    <w:rsid w:val="007609A2"/>
    <w:rsid w:val="00765C43"/>
    <w:rsid w:val="00765EFB"/>
    <w:rsid w:val="007671CA"/>
    <w:rsid w:val="00767C61"/>
    <w:rsid w:val="0077008A"/>
    <w:rsid w:val="00773563"/>
    <w:rsid w:val="00773C1F"/>
    <w:rsid w:val="00774DA4"/>
    <w:rsid w:val="00776599"/>
    <w:rsid w:val="0078114B"/>
    <w:rsid w:val="00781DD2"/>
    <w:rsid w:val="00783ECF"/>
    <w:rsid w:val="0078413A"/>
    <w:rsid w:val="00790CA3"/>
    <w:rsid w:val="007959E8"/>
    <w:rsid w:val="00795E9C"/>
    <w:rsid w:val="007A0521"/>
    <w:rsid w:val="007A061E"/>
    <w:rsid w:val="007A2E12"/>
    <w:rsid w:val="007A3475"/>
    <w:rsid w:val="007A376B"/>
    <w:rsid w:val="007A41C8"/>
    <w:rsid w:val="007A54CE"/>
    <w:rsid w:val="007A7FFA"/>
    <w:rsid w:val="007B04EB"/>
    <w:rsid w:val="007B0D4F"/>
    <w:rsid w:val="007B5A3D"/>
    <w:rsid w:val="007B5B95"/>
    <w:rsid w:val="007B68EA"/>
    <w:rsid w:val="007C19E8"/>
    <w:rsid w:val="007C2D89"/>
    <w:rsid w:val="007C4593"/>
    <w:rsid w:val="007C5309"/>
    <w:rsid w:val="007C5FB4"/>
    <w:rsid w:val="007C6069"/>
    <w:rsid w:val="007D06C4"/>
    <w:rsid w:val="007D1352"/>
    <w:rsid w:val="007D2508"/>
    <w:rsid w:val="007D346A"/>
    <w:rsid w:val="007D6518"/>
    <w:rsid w:val="007D76BD"/>
    <w:rsid w:val="007E0BF1"/>
    <w:rsid w:val="007F0EA8"/>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B27"/>
    <w:rsid w:val="00843C13"/>
    <w:rsid w:val="008454F8"/>
    <w:rsid w:val="00851342"/>
    <w:rsid w:val="0085173A"/>
    <w:rsid w:val="008603CE"/>
    <w:rsid w:val="008620FC"/>
    <w:rsid w:val="008627A5"/>
    <w:rsid w:val="00863E05"/>
    <w:rsid w:val="00865ACA"/>
    <w:rsid w:val="00865D28"/>
    <w:rsid w:val="00865DDD"/>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24D4"/>
    <w:rsid w:val="008B3615"/>
    <w:rsid w:val="008B4AC4"/>
    <w:rsid w:val="008B4B62"/>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01E2"/>
    <w:rsid w:val="00920CA8"/>
    <w:rsid w:val="009245F5"/>
    <w:rsid w:val="009249EC"/>
    <w:rsid w:val="009273B3"/>
    <w:rsid w:val="009305B5"/>
    <w:rsid w:val="009320F4"/>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1799"/>
    <w:rsid w:val="00982108"/>
    <w:rsid w:val="00982D22"/>
    <w:rsid w:val="0098364B"/>
    <w:rsid w:val="00983BF9"/>
    <w:rsid w:val="00986921"/>
    <w:rsid w:val="00990E4E"/>
    <w:rsid w:val="009911AF"/>
    <w:rsid w:val="00991875"/>
    <w:rsid w:val="00991F92"/>
    <w:rsid w:val="009923F3"/>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54FE"/>
    <w:rsid w:val="009D6BCA"/>
    <w:rsid w:val="009E0F62"/>
    <w:rsid w:val="009E4A58"/>
    <w:rsid w:val="009E5A2D"/>
    <w:rsid w:val="009E5AB2"/>
    <w:rsid w:val="009E6219"/>
    <w:rsid w:val="009F03B3"/>
    <w:rsid w:val="00A01757"/>
    <w:rsid w:val="00A028C0"/>
    <w:rsid w:val="00A02BAE"/>
    <w:rsid w:val="00A06A6B"/>
    <w:rsid w:val="00A07572"/>
    <w:rsid w:val="00A07E47"/>
    <w:rsid w:val="00A129D0"/>
    <w:rsid w:val="00A12C33"/>
    <w:rsid w:val="00A138BA"/>
    <w:rsid w:val="00A14C8E"/>
    <w:rsid w:val="00A153D9"/>
    <w:rsid w:val="00A15F09"/>
    <w:rsid w:val="00A169B6"/>
    <w:rsid w:val="00A2271D"/>
    <w:rsid w:val="00A236E5"/>
    <w:rsid w:val="00A237D5"/>
    <w:rsid w:val="00A24F7B"/>
    <w:rsid w:val="00A2634D"/>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46CA5"/>
    <w:rsid w:val="00A55BD6"/>
    <w:rsid w:val="00A55D50"/>
    <w:rsid w:val="00A57142"/>
    <w:rsid w:val="00A648CD"/>
    <w:rsid w:val="00A65123"/>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3E95"/>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53A2"/>
    <w:rsid w:val="00B56FBE"/>
    <w:rsid w:val="00B62B58"/>
    <w:rsid w:val="00B6423F"/>
    <w:rsid w:val="00B65149"/>
    <w:rsid w:val="00B66567"/>
    <w:rsid w:val="00B66F52"/>
    <w:rsid w:val="00B66FE5"/>
    <w:rsid w:val="00B675B7"/>
    <w:rsid w:val="00B72880"/>
    <w:rsid w:val="00B758BF"/>
    <w:rsid w:val="00B827A6"/>
    <w:rsid w:val="00B831CE"/>
    <w:rsid w:val="00B86677"/>
    <w:rsid w:val="00B87131"/>
    <w:rsid w:val="00B9127B"/>
    <w:rsid w:val="00B91566"/>
    <w:rsid w:val="00B91B09"/>
    <w:rsid w:val="00B9320C"/>
    <w:rsid w:val="00B939B1"/>
    <w:rsid w:val="00B96D40"/>
    <w:rsid w:val="00B97386"/>
    <w:rsid w:val="00BA263B"/>
    <w:rsid w:val="00BA42B2"/>
    <w:rsid w:val="00BA44E9"/>
    <w:rsid w:val="00BA58D4"/>
    <w:rsid w:val="00BA5B9E"/>
    <w:rsid w:val="00BA7C9A"/>
    <w:rsid w:val="00BB5F8F"/>
    <w:rsid w:val="00BB657A"/>
    <w:rsid w:val="00BC1A4E"/>
    <w:rsid w:val="00BC4C75"/>
    <w:rsid w:val="00BC517D"/>
    <w:rsid w:val="00BC5DC7"/>
    <w:rsid w:val="00BC6B8B"/>
    <w:rsid w:val="00BC73D8"/>
    <w:rsid w:val="00BC7FF8"/>
    <w:rsid w:val="00BD0920"/>
    <w:rsid w:val="00BD4635"/>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C22"/>
    <w:rsid w:val="00C13EE9"/>
    <w:rsid w:val="00C14D87"/>
    <w:rsid w:val="00C15C1D"/>
    <w:rsid w:val="00C1743D"/>
    <w:rsid w:val="00C21540"/>
    <w:rsid w:val="00C21906"/>
    <w:rsid w:val="00C21BFA"/>
    <w:rsid w:val="00C24C8D"/>
    <w:rsid w:val="00C25FE2"/>
    <w:rsid w:val="00C26B53"/>
    <w:rsid w:val="00C279B2"/>
    <w:rsid w:val="00C33E50"/>
    <w:rsid w:val="00C34C20"/>
    <w:rsid w:val="00C35A3E"/>
    <w:rsid w:val="00C35F6E"/>
    <w:rsid w:val="00C42130"/>
    <w:rsid w:val="00C423A4"/>
    <w:rsid w:val="00C43619"/>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36C9"/>
    <w:rsid w:val="00C84E33"/>
    <w:rsid w:val="00C86D6F"/>
    <w:rsid w:val="00C905FC"/>
    <w:rsid w:val="00C92D03"/>
    <w:rsid w:val="00C9319C"/>
    <w:rsid w:val="00C9435D"/>
    <w:rsid w:val="00C9517F"/>
    <w:rsid w:val="00C96741"/>
    <w:rsid w:val="00CA2D1B"/>
    <w:rsid w:val="00CA662A"/>
    <w:rsid w:val="00CA7AFD"/>
    <w:rsid w:val="00CA7C3C"/>
    <w:rsid w:val="00CB0189"/>
    <w:rsid w:val="00CB0BA2"/>
    <w:rsid w:val="00CB1A42"/>
    <w:rsid w:val="00CB1B0C"/>
    <w:rsid w:val="00CB2C0B"/>
    <w:rsid w:val="00CB40F7"/>
    <w:rsid w:val="00CB517D"/>
    <w:rsid w:val="00CC038D"/>
    <w:rsid w:val="00CC39FF"/>
    <w:rsid w:val="00CC3C2F"/>
    <w:rsid w:val="00CC4AC8"/>
    <w:rsid w:val="00CC5233"/>
    <w:rsid w:val="00CC5DE6"/>
    <w:rsid w:val="00CC6E4E"/>
    <w:rsid w:val="00CC6FE8"/>
    <w:rsid w:val="00CC7202"/>
    <w:rsid w:val="00CD2808"/>
    <w:rsid w:val="00CD28BF"/>
    <w:rsid w:val="00CD3BC5"/>
    <w:rsid w:val="00CD4092"/>
    <w:rsid w:val="00CD4A20"/>
    <w:rsid w:val="00CD50A1"/>
    <w:rsid w:val="00CD519E"/>
    <w:rsid w:val="00CE0C4F"/>
    <w:rsid w:val="00CE30EA"/>
    <w:rsid w:val="00CE377E"/>
    <w:rsid w:val="00CF048A"/>
    <w:rsid w:val="00CF155A"/>
    <w:rsid w:val="00CF2947"/>
    <w:rsid w:val="00CF44B1"/>
    <w:rsid w:val="00CF686F"/>
    <w:rsid w:val="00CF6E60"/>
    <w:rsid w:val="00CF7BCA"/>
    <w:rsid w:val="00D008FD"/>
    <w:rsid w:val="00D0128D"/>
    <w:rsid w:val="00D0321C"/>
    <w:rsid w:val="00D035EC"/>
    <w:rsid w:val="00D06AB1"/>
    <w:rsid w:val="00D072ED"/>
    <w:rsid w:val="00D07A16"/>
    <w:rsid w:val="00D1067E"/>
    <w:rsid w:val="00D10F50"/>
    <w:rsid w:val="00D11272"/>
    <w:rsid w:val="00D126F5"/>
    <w:rsid w:val="00D1489E"/>
    <w:rsid w:val="00D20737"/>
    <w:rsid w:val="00D21E81"/>
    <w:rsid w:val="00D223DE"/>
    <w:rsid w:val="00D23382"/>
    <w:rsid w:val="00D25E37"/>
    <w:rsid w:val="00D2661A"/>
    <w:rsid w:val="00D27582"/>
    <w:rsid w:val="00D32719"/>
    <w:rsid w:val="00D33333"/>
    <w:rsid w:val="00D3481B"/>
    <w:rsid w:val="00D352A2"/>
    <w:rsid w:val="00D40A83"/>
    <w:rsid w:val="00D4162B"/>
    <w:rsid w:val="00D4514F"/>
    <w:rsid w:val="00D451E2"/>
    <w:rsid w:val="00D4545E"/>
    <w:rsid w:val="00D45E89"/>
    <w:rsid w:val="00D45E8D"/>
    <w:rsid w:val="00D466AE"/>
    <w:rsid w:val="00D4734F"/>
    <w:rsid w:val="00D5160A"/>
    <w:rsid w:val="00D51BF3"/>
    <w:rsid w:val="00D63276"/>
    <w:rsid w:val="00D66238"/>
    <w:rsid w:val="00D66846"/>
    <w:rsid w:val="00D675FB"/>
    <w:rsid w:val="00D71F25"/>
    <w:rsid w:val="00D77031"/>
    <w:rsid w:val="00D84941"/>
    <w:rsid w:val="00D84FA1"/>
    <w:rsid w:val="00D851F0"/>
    <w:rsid w:val="00D86DB7"/>
    <w:rsid w:val="00D926D0"/>
    <w:rsid w:val="00D93030"/>
    <w:rsid w:val="00D950E1"/>
    <w:rsid w:val="00D952A6"/>
    <w:rsid w:val="00D95510"/>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2CFE"/>
    <w:rsid w:val="00DE51F0"/>
    <w:rsid w:val="00DE6E81"/>
    <w:rsid w:val="00DE703F"/>
    <w:rsid w:val="00DE7595"/>
    <w:rsid w:val="00DF15BE"/>
    <w:rsid w:val="00DF1961"/>
    <w:rsid w:val="00DF44DE"/>
    <w:rsid w:val="00E01138"/>
    <w:rsid w:val="00E02128"/>
    <w:rsid w:val="00E02DFB"/>
    <w:rsid w:val="00E030F9"/>
    <w:rsid w:val="00E0311A"/>
    <w:rsid w:val="00E03138"/>
    <w:rsid w:val="00E06404"/>
    <w:rsid w:val="00E07D5F"/>
    <w:rsid w:val="00E11A85"/>
    <w:rsid w:val="00E12495"/>
    <w:rsid w:val="00E15CCD"/>
    <w:rsid w:val="00E202EF"/>
    <w:rsid w:val="00E210B5"/>
    <w:rsid w:val="00E2552F"/>
    <w:rsid w:val="00E3137A"/>
    <w:rsid w:val="00E32CCF"/>
    <w:rsid w:val="00E34A98"/>
    <w:rsid w:val="00E35D1E"/>
    <w:rsid w:val="00E364F9"/>
    <w:rsid w:val="00E36583"/>
    <w:rsid w:val="00E365FA"/>
    <w:rsid w:val="00E40C94"/>
    <w:rsid w:val="00E43C8F"/>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9DF"/>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6C12"/>
    <w:rsid w:val="00EF7E72"/>
    <w:rsid w:val="00F03EEC"/>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861FD"/>
    <w:rsid w:val="00F86EE9"/>
    <w:rsid w:val="00F9108B"/>
    <w:rsid w:val="00F91349"/>
    <w:rsid w:val="00F93A8A"/>
    <w:rsid w:val="00F95248"/>
    <w:rsid w:val="00F955FF"/>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3845"/>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148527E9"/>
    <w:rsid w:val="17FBC589"/>
    <w:rsid w:val="185E2D56"/>
    <w:rsid w:val="3B8D56B9"/>
    <w:rsid w:val="E77DA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2"/>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3"/>
    <w:semiHidden/>
    <w:unhideWhenUsed/>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vAnchor="page" w:hAnchor="page" w:x="1419" w:y="14097"/>
    </w:pPr>
  </w:style>
  <w:style w:type="paragraph" w:customStyle="1" w:styleId="197">
    <w:name w:val="其他实施日期"/>
    <w:basedOn w:val="157"/>
    <w:qFormat/>
    <w:uiPriority w:val="0"/>
    <w:pPr>
      <w:framePr w:w="3997" w:h="471" w:hRule="exact" w:vSpace="181"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2">
    <w:name w:val="附录标识"/>
    <w:basedOn w:val="1"/>
    <w:next w:val="1"/>
    <w:qFormat/>
    <w:uiPriority w:val="0"/>
    <w:pPr>
      <w:keepNext/>
      <w:widowControl/>
      <w:shd w:val="clear" w:color="auto" w:fill="FFFFFF"/>
      <w:tabs>
        <w:tab w:val="left" w:pos="6405"/>
      </w:tabs>
      <w:adjustRightInd/>
      <w:spacing w:before="640" w:after="280" w:line="240" w:lineRule="auto"/>
      <w:ind w:left="4536"/>
      <w:jc w:val="center"/>
      <w:outlineLvl w:val="0"/>
    </w:pPr>
    <w:rPr>
      <w:rFonts w:ascii="黑体" w:hAnsi="Times New Roman" w:eastAsia="黑体"/>
      <w:kern w:val="0"/>
      <w:szCs w:val="20"/>
    </w:rPr>
  </w:style>
  <w:style w:type="paragraph" w:customStyle="1" w:styleId="233">
    <w:name w:val="附录二级条标题"/>
    <w:basedOn w:val="1"/>
    <w:next w:val="1"/>
    <w:qFormat/>
    <w:uiPriority w:val="0"/>
    <w:pPr>
      <w:widowControl/>
      <w:wordWrap w:val="0"/>
      <w:overflowPunct w:val="0"/>
      <w:autoSpaceDE w:val="0"/>
      <w:autoSpaceDN w:val="0"/>
      <w:adjustRightInd/>
      <w:spacing w:beforeLines="50" w:line="240" w:lineRule="auto"/>
      <w:ind w:left="1277"/>
      <w:outlineLvl w:val="3"/>
    </w:pPr>
    <w:rPr>
      <w:rFonts w:ascii="黑体" w:hAnsi="Times New Roman" w:eastAsia="黑体"/>
      <w:kern w:val="21"/>
      <w:szCs w:val="20"/>
    </w:rPr>
  </w:style>
  <w:style w:type="paragraph" w:customStyle="1" w:styleId="234">
    <w:name w:val="附录三级条标题"/>
    <w:basedOn w:val="233"/>
    <w:next w:val="1"/>
    <w:qFormat/>
    <w:uiPriority w:val="0"/>
    <w:pPr>
      <w:tabs>
        <w:tab w:val="left" w:pos="360"/>
      </w:tabs>
      <w:ind w:left="0"/>
      <w:outlineLvl w:val="4"/>
    </w:pPr>
  </w:style>
  <w:style w:type="paragraph" w:customStyle="1" w:styleId="235">
    <w:name w:val="附录四级条标题"/>
    <w:basedOn w:val="234"/>
    <w:next w:val="1"/>
    <w:qFormat/>
    <w:uiPriority w:val="0"/>
    <w:pPr>
      <w:outlineLvl w:val="5"/>
    </w:pPr>
  </w:style>
  <w:style w:type="paragraph" w:customStyle="1" w:styleId="236">
    <w:name w:val="附录五级条标题"/>
    <w:basedOn w:val="235"/>
    <w:next w:val="1"/>
    <w:qFormat/>
    <w:uiPriority w:val="0"/>
    <w:pPr>
      <w:outlineLvl w:val="6"/>
    </w:pPr>
  </w:style>
  <w:style w:type="paragraph" w:customStyle="1" w:styleId="237">
    <w:name w:val="附录章标题"/>
    <w:next w:val="1"/>
    <w:qFormat/>
    <w:uiPriority w:val="0"/>
    <w:pPr>
      <w:wordWrap w:val="0"/>
      <w:overflowPunct w:val="0"/>
      <w:autoSpaceDE w:val="0"/>
      <w:spacing w:beforeLines="100"/>
      <w:ind w:left="1844"/>
      <w:jc w:val="both"/>
      <w:outlineLvl w:val="1"/>
    </w:pPr>
    <w:rPr>
      <w:rFonts w:ascii="黑体" w:hAnsi="Times New Roman" w:eastAsia="黑体" w:cs="Times New Roman"/>
      <w:kern w:val="21"/>
      <w:sz w:val="21"/>
      <w:lang w:val="en-US" w:eastAsia="zh-CN" w:bidi="ar-SA"/>
    </w:rPr>
  </w:style>
  <w:style w:type="character" w:customStyle="1" w:styleId="238">
    <w:name w:val="附录一级条标题 Char"/>
    <w:link w:val="239"/>
    <w:qFormat/>
    <w:locked/>
    <w:uiPriority w:val="0"/>
    <w:rPr>
      <w:rFonts w:ascii="黑体" w:hAnsi="黑体" w:eastAsia="黑体"/>
      <w:kern w:val="21"/>
      <w:sz w:val="21"/>
    </w:rPr>
  </w:style>
  <w:style w:type="paragraph" w:customStyle="1" w:styleId="239">
    <w:name w:val="附录一级条标题"/>
    <w:basedOn w:val="237"/>
    <w:next w:val="1"/>
    <w:link w:val="238"/>
    <w:qFormat/>
    <w:uiPriority w:val="0"/>
    <w:pPr>
      <w:autoSpaceDN w:val="0"/>
      <w:spacing w:beforeLines="50"/>
      <w:ind w:left="1135"/>
      <w:outlineLvl w:val="2"/>
    </w:pPr>
    <w:rPr>
      <w:rFonts w:hAnsi="黑体"/>
    </w:rPr>
  </w:style>
  <w:style w:type="character" w:customStyle="1" w:styleId="240">
    <w:name w:val="段 Char"/>
    <w:basedOn w:val="30"/>
    <w:link w:val="241"/>
    <w:qFormat/>
    <w:locked/>
    <w:uiPriority w:val="0"/>
    <w:rPr>
      <w:rFonts w:ascii="宋体" w:hAnsi="宋体"/>
      <w:sz w:val="21"/>
    </w:rPr>
  </w:style>
  <w:style w:type="paragraph" w:customStyle="1" w:styleId="241">
    <w:name w:val="段"/>
    <w:link w:val="240"/>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242">
    <w:name w:val="批注文字 字符"/>
    <w:basedOn w:val="30"/>
    <w:link w:val="13"/>
    <w:semiHidden/>
    <w:qFormat/>
    <w:uiPriority w:val="99"/>
    <w:rPr>
      <w:kern w:val="2"/>
      <w:sz w:val="21"/>
      <w:szCs w:val="21"/>
    </w:rPr>
  </w:style>
  <w:style w:type="character" w:customStyle="1" w:styleId="243">
    <w:name w:val="批注主题 字符"/>
    <w:basedOn w:val="242"/>
    <w:link w:val="27"/>
    <w:semiHidden/>
    <w:qFormat/>
    <w:uiPriority w:val="99"/>
    <w:rPr>
      <w:b/>
      <w:bCs/>
      <w:kern w:val="2"/>
      <w:sz w:val="21"/>
      <w:szCs w:val="21"/>
    </w:rPr>
  </w:style>
  <w:style w:type="paragraph" w:customStyle="1" w:styleId="244">
    <w:name w:val="修订1"/>
    <w:hidden/>
    <w:semiHidden/>
    <w:qFormat/>
    <w:uiPriority w:val="99"/>
    <w:rPr>
      <w:rFonts w:ascii="Calibri" w:hAnsi="Calibri" w:eastAsia="宋体" w:cs="Times New Roman"/>
      <w:kern w:val="2"/>
      <w:sz w:val="21"/>
      <w:szCs w:val="21"/>
      <w:lang w:val="en-US" w:eastAsia="zh-CN" w:bidi="ar-SA"/>
    </w:rPr>
  </w:style>
  <w:style w:type="paragraph" w:customStyle="1" w:styleId="245">
    <w:name w:val="三级无"/>
    <w:basedOn w:val="1"/>
    <w:qFormat/>
    <w:uiPriority w:val="0"/>
    <w:pPr>
      <w:widowControl/>
      <w:adjustRightInd/>
      <w:spacing w:line="240" w:lineRule="auto"/>
      <w:jc w:val="left"/>
      <w:outlineLvl w:val="4"/>
    </w:pPr>
    <w:rPr>
      <w:rFonts w:ascii="宋体" w:hAnsi="黑体" w:cs="宋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tiff"/><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89EC2BC98B847D4AE28D42D23D470BA"/>
        <w:style w:val=""/>
        <w:category>
          <w:name w:val="常规"/>
          <w:gallery w:val="placeholder"/>
        </w:category>
        <w:types>
          <w:type w:val="bbPlcHdr"/>
        </w:types>
        <w:behaviors>
          <w:behavior w:val="content"/>
        </w:behaviors>
        <w:description w:val=""/>
        <w:guid w:val="{AABB361F-C070-4A07-BE8A-7818ACC8A481}"/>
      </w:docPartPr>
      <w:docPartBody>
        <w:p>
          <w:pPr>
            <w:pStyle w:val="5"/>
          </w:pPr>
          <w:r>
            <w:rPr>
              <w:rStyle w:val="4"/>
              <w:rFonts w:hint="eastAsia"/>
            </w:rPr>
            <w:t>单击或点击此处输入文字。</w:t>
          </w:r>
        </w:p>
      </w:docPartBody>
    </w:docPart>
    <w:docPart>
      <w:docPartPr>
        <w:name w:val="A8AAAB22983247DF9CF3D38230ADBA4C"/>
        <w:style w:val=""/>
        <w:category>
          <w:name w:val="常规"/>
          <w:gallery w:val="placeholder"/>
        </w:category>
        <w:types>
          <w:type w:val="bbPlcHdr"/>
        </w:types>
        <w:behaviors>
          <w:behavior w:val="content"/>
        </w:behaviors>
        <w:description w:val=""/>
        <w:guid w:val="{72CF4667-1E60-47E2-AEB7-D81F7084401B}"/>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500"/>
    <w:rsid w:val="00124959"/>
    <w:rsid w:val="001D5320"/>
    <w:rsid w:val="002C1551"/>
    <w:rsid w:val="002D3F0B"/>
    <w:rsid w:val="00471B30"/>
    <w:rsid w:val="00483B3A"/>
    <w:rsid w:val="00594CB5"/>
    <w:rsid w:val="00724500"/>
    <w:rsid w:val="00853C3B"/>
    <w:rsid w:val="00903ADC"/>
    <w:rsid w:val="009665EF"/>
    <w:rsid w:val="009E29F0"/>
    <w:rsid w:val="00A017D4"/>
    <w:rsid w:val="00AA62F7"/>
    <w:rsid w:val="00AD0286"/>
    <w:rsid w:val="00C55F9F"/>
    <w:rsid w:val="00F73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89EC2BC98B847D4AE28D42D23D470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8AAAB22983247DF9CF3D38230ADBA4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11</Pages>
  <Words>968</Words>
  <Characters>5520</Characters>
  <Lines>46</Lines>
  <Paragraphs>12</Paragraphs>
  <TotalTime>151</TotalTime>
  <ScaleCrop>false</ScaleCrop>
  <LinksUpToDate>false</LinksUpToDate>
  <CharactersWithSpaces>6476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2021-06-25T08:51:00Z</dcterms:created>
  <dc:creator>陆瑾</dc:creator>
  <dc:description>&lt;config cover="true" show_menu="true" version="1.0.0" doctype="SDKXY"&gt;_x000d_
&lt;/config&gt;</dc:description>
  <cp:lastModifiedBy>kylin</cp:lastModifiedBy>
  <cp:lastPrinted>2021-09-14T05:09:00Z</cp:lastPrinted>
  <dcterms:modified xsi:type="dcterms:W3CDTF">2021-09-17T08:10:06Z</dcterms:modified>
  <dc:title>国家标准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2052-11.8.2.10337</vt:lpwstr>
  </property>
  <property fmtid="{D5CDD505-2E9C-101B-9397-08002B2CF9AE}" pid="15" name="ICV">
    <vt:lpwstr>87D7974647B247EF878CE65170E477E9</vt:lpwstr>
  </property>
</Properties>
</file>