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rPr>
          <w:rFonts w:ascii="Times New Roman" w:cs="Times New Roman"/>
        </w:rPr>
      </w:pPr>
      <w:bookmarkStart w:id="0" w:name="_Hlk64896309"/>
    </w:p>
    <w:bookmarkEnd w:id="0"/>
    <w:p>
      <w:pPr>
        <w:autoSpaceDE w:val="0"/>
        <w:autoSpaceDN w:val="0"/>
        <w:adjustRightInd w:val="0"/>
        <w:spacing w:line="400" w:lineRule="exact"/>
        <w:ind w:firstLine="0" w:firstLineChars="0"/>
        <w:jc w:val="center"/>
        <w:outlineLvl w:val="0"/>
        <w:rPr>
          <w:rFonts w:eastAsia="黑体"/>
          <w:color w:val="000000"/>
          <w:kern w:val="0"/>
          <w:sz w:val="32"/>
          <w:szCs w:val="32"/>
        </w:rPr>
      </w:pPr>
      <w:bookmarkStart w:id="1" w:name="_Toc28417"/>
      <w:bookmarkStart w:id="2" w:name="_Toc64898472"/>
      <w:bookmarkStart w:id="3" w:name="_Toc28374"/>
      <w:bookmarkStart w:id="4" w:name="_Toc30310"/>
      <w:bookmarkStart w:id="5" w:name="_Toc36212235"/>
      <w:r>
        <w:rPr>
          <w:rFonts w:eastAsia="黑体"/>
          <w:color w:val="000000"/>
          <w:kern w:val="0"/>
          <w:sz w:val="32"/>
          <w:szCs w:val="32"/>
        </w:rPr>
        <w:t>《摩托车和轻便摩托车防盗装置》</w:t>
      </w:r>
      <w:bookmarkEnd w:id="1"/>
      <w:bookmarkEnd w:id="2"/>
      <w:bookmarkEnd w:id="3"/>
      <w:bookmarkEnd w:id="4"/>
      <w:bookmarkEnd w:id="5"/>
      <w:bookmarkStart w:id="6" w:name="_Toc64898473"/>
      <w:bookmarkStart w:id="7" w:name="_Toc4815"/>
      <w:bookmarkStart w:id="8" w:name="_Toc21854"/>
      <w:bookmarkStart w:id="9" w:name="_Toc36212236"/>
      <w:bookmarkStart w:id="10" w:name="_Toc14803"/>
      <w:r>
        <w:rPr>
          <w:rFonts w:eastAsia="黑体"/>
          <w:color w:val="000000"/>
          <w:kern w:val="0"/>
          <w:sz w:val="32"/>
          <w:szCs w:val="32"/>
        </w:rPr>
        <w:t>（征求意见稿）</w:t>
      </w:r>
      <w:bookmarkEnd w:id="6"/>
      <w:bookmarkEnd w:id="7"/>
      <w:bookmarkEnd w:id="8"/>
      <w:bookmarkEnd w:id="9"/>
      <w:bookmarkEnd w:id="10"/>
    </w:p>
    <w:p>
      <w:pPr>
        <w:autoSpaceDE w:val="0"/>
        <w:autoSpaceDN w:val="0"/>
        <w:adjustRightInd w:val="0"/>
        <w:spacing w:line="400" w:lineRule="exact"/>
        <w:ind w:firstLine="0" w:firstLineChars="0"/>
        <w:jc w:val="center"/>
        <w:outlineLvl w:val="0"/>
        <w:rPr>
          <w:rFonts w:eastAsia="黑体"/>
          <w:color w:val="000000"/>
          <w:kern w:val="0"/>
          <w:sz w:val="32"/>
          <w:szCs w:val="32"/>
        </w:rPr>
      </w:pPr>
      <w:bookmarkStart w:id="11" w:name="_Toc8137"/>
      <w:bookmarkStart w:id="12" w:name="_Toc31546"/>
      <w:bookmarkStart w:id="13" w:name="_Toc64898474"/>
      <w:bookmarkStart w:id="14" w:name="_Toc30226"/>
      <w:bookmarkStart w:id="15" w:name="_Toc36212237"/>
      <w:r>
        <w:rPr>
          <w:rFonts w:eastAsia="黑体"/>
          <w:color w:val="000000"/>
          <w:kern w:val="0"/>
          <w:sz w:val="32"/>
          <w:szCs w:val="32"/>
        </w:rPr>
        <w:t>编制说明</w:t>
      </w:r>
      <w:bookmarkEnd w:id="11"/>
      <w:bookmarkEnd w:id="12"/>
      <w:bookmarkEnd w:id="13"/>
      <w:bookmarkEnd w:id="14"/>
      <w:bookmarkEnd w:id="15"/>
    </w:p>
    <w:p>
      <w:pPr>
        <w:autoSpaceDE w:val="0"/>
        <w:autoSpaceDN w:val="0"/>
        <w:adjustRightInd w:val="0"/>
        <w:spacing w:line="400" w:lineRule="exact"/>
        <w:ind w:firstLine="0" w:firstLineChars="0"/>
        <w:jc w:val="center"/>
        <w:outlineLvl w:val="0"/>
        <w:rPr>
          <w:rFonts w:eastAsia="黑体"/>
          <w:color w:val="000000"/>
          <w:kern w:val="0"/>
          <w:sz w:val="32"/>
          <w:szCs w:val="32"/>
        </w:rPr>
      </w:pPr>
    </w:p>
    <w:p>
      <w:pPr>
        <w:autoSpaceDE w:val="0"/>
        <w:autoSpaceDN w:val="0"/>
        <w:adjustRightInd w:val="0"/>
        <w:spacing w:line="400" w:lineRule="exact"/>
        <w:ind w:firstLine="480"/>
        <w:jc w:val="left"/>
        <w:outlineLvl w:val="0"/>
        <w:rPr>
          <w:rFonts w:eastAsia="黑体"/>
          <w:bCs/>
          <w:color w:val="000000"/>
          <w:kern w:val="0"/>
          <w:sz w:val="24"/>
        </w:rPr>
      </w:pPr>
      <w:bookmarkStart w:id="16" w:name="_Toc36212238"/>
      <w:bookmarkStart w:id="17" w:name="_Toc7124"/>
      <w:bookmarkStart w:id="18" w:name="_Toc64898475"/>
      <w:bookmarkStart w:id="19" w:name="_Toc733"/>
      <w:bookmarkStart w:id="20" w:name="_Hlk64896381"/>
      <w:r>
        <w:rPr>
          <w:rFonts w:eastAsia="黑体"/>
          <w:bCs/>
          <w:color w:val="000000"/>
          <w:kern w:val="0"/>
          <w:sz w:val="24"/>
        </w:rPr>
        <w:t>一、工作简况</w:t>
      </w:r>
      <w:bookmarkEnd w:id="16"/>
      <w:bookmarkEnd w:id="17"/>
      <w:bookmarkEnd w:id="18"/>
      <w:bookmarkEnd w:id="19"/>
    </w:p>
    <w:p>
      <w:pPr>
        <w:autoSpaceDE w:val="0"/>
        <w:autoSpaceDN w:val="0"/>
        <w:adjustRightInd w:val="0"/>
        <w:spacing w:line="400" w:lineRule="exact"/>
        <w:ind w:firstLine="422"/>
        <w:jc w:val="left"/>
        <w:outlineLvl w:val="0"/>
        <w:rPr>
          <w:b/>
          <w:szCs w:val="21"/>
        </w:rPr>
      </w:pPr>
      <w:r>
        <w:rPr>
          <w:b/>
          <w:szCs w:val="21"/>
        </w:rPr>
        <w:t>（一）任务来源</w:t>
      </w:r>
    </w:p>
    <w:p>
      <w:pPr>
        <w:spacing w:line="400" w:lineRule="exact"/>
        <w:ind w:firstLine="420"/>
        <w:jc w:val="left"/>
      </w:pPr>
      <w:r>
        <w:t>根据国标委发【2019】26号文《关于下达&lt;车用乙醇汽油&gt;等13项强制性国家标准制修订计划的通知》，受工信部委托，由全国汽车标准化技术委员会摩托车分技术委员会牵头组织标准起草工作，上海机动车检测认证技术研究中心有限公司负责GB 17353-2014《摩托车防盗装置》的修订，项目计划编号：20192424-Q-339。</w:t>
      </w:r>
    </w:p>
    <w:p>
      <w:pPr>
        <w:autoSpaceDE w:val="0"/>
        <w:autoSpaceDN w:val="0"/>
        <w:adjustRightInd w:val="0"/>
        <w:spacing w:line="400" w:lineRule="exact"/>
        <w:ind w:firstLine="422"/>
        <w:jc w:val="left"/>
        <w:outlineLvl w:val="0"/>
        <w:rPr>
          <w:b/>
          <w:szCs w:val="21"/>
        </w:rPr>
      </w:pPr>
      <w:r>
        <w:rPr>
          <w:b/>
          <w:szCs w:val="21"/>
        </w:rPr>
        <w:t>（二）标准编写的目的和意义</w:t>
      </w:r>
    </w:p>
    <w:p>
      <w:pPr>
        <w:spacing w:line="400" w:lineRule="exact"/>
        <w:ind w:firstLine="420"/>
        <w:jc w:val="left"/>
      </w:pPr>
      <w:r>
        <w:t>当今社会摩托车偷盗已成为最常见的犯罪行为之一，摩托车被盗数量逐年上升，给社会治安带来极大不安定因素，如何防止车辆被盗及被盗后如何追回，成为困扰每一位车主的难题。为保障车主的财产安全，避免造成不必要的经济损失。做好摩托车防盗保护，从而使车辆处于安全、不受侵害、不出现未授权使用的问题，成为车主和社会关注的焦点。同时，构建大公共安全理念，为摩托车车主提供实时的综合性安全服务举措，利用现有卫星定位系统的高科技手段，作为原先机械式锁止防盗装置的延伸和加强，不断提高技术能力，使防盗手段真正起到作用，达到预期的目的，促进摩托车和轻便摩托车的安全防盗技术发展。</w:t>
      </w:r>
    </w:p>
    <w:p>
      <w:pPr>
        <w:spacing w:line="400" w:lineRule="exact"/>
        <w:ind w:firstLine="420"/>
        <w:jc w:val="left"/>
      </w:pPr>
      <w:r>
        <w:t xml:space="preserve">从国家政策方向：《国家卫星导航产业中长期发展规划》：“以公众出行信息服务需求为引导，重点推动北斗兼容卫星导航功能成为车载导航、智能手机的标准配置”。 </w:t>
      </w:r>
    </w:p>
    <w:p>
      <w:pPr>
        <w:spacing w:line="400" w:lineRule="exact"/>
        <w:ind w:firstLine="420"/>
        <w:jc w:val="left"/>
      </w:pPr>
      <w:r>
        <w:t>由于国内还没有对摩托车和轻便摩托车在电子网络防盗技术上有相关技术标准，结合我国北斗卫星定位系统产业发展的契机，及车主对摩托车非授权使用的关注。原标准中的要求已不能满足当前行业发展的需求。因此，修订标准将围绕卫星定位产业发展方向，提高卫星定位技术在摩托车安全领域的应用。</w:t>
      </w:r>
    </w:p>
    <w:p>
      <w:pPr>
        <w:autoSpaceDE w:val="0"/>
        <w:autoSpaceDN w:val="0"/>
        <w:adjustRightInd w:val="0"/>
        <w:spacing w:line="400" w:lineRule="exact"/>
        <w:ind w:firstLine="422"/>
        <w:jc w:val="left"/>
        <w:outlineLvl w:val="0"/>
        <w:rPr>
          <w:b/>
          <w:szCs w:val="21"/>
        </w:rPr>
      </w:pPr>
      <w:r>
        <w:rPr>
          <w:b/>
          <w:szCs w:val="21"/>
        </w:rPr>
        <w:t>（三）编制过程</w:t>
      </w:r>
    </w:p>
    <w:p>
      <w:pPr>
        <w:autoSpaceDE w:val="0"/>
        <w:autoSpaceDN w:val="0"/>
        <w:adjustRightInd w:val="0"/>
        <w:spacing w:line="400" w:lineRule="exact"/>
        <w:ind w:firstLine="422"/>
        <w:jc w:val="left"/>
        <w:outlineLvl w:val="0"/>
        <w:rPr>
          <w:b/>
          <w:bCs/>
        </w:rPr>
      </w:pPr>
      <w:r>
        <w:rPr>
          <w:rFonts w:hint="eastAsia"/>
          <w:b/>
          <w:bCs/>
        </w:rPr>
        <w:t>1.</w:t>
      </w:r>
      <w:r>
        <w:rPr>
          <w:b/>
          <w:bCs/>
        </w:rPr>
        <w:t>标准任务分工</w:t>
      </w:r>
    </w:p>
    <w:p>
      <w:pPr>
        <w:spacing w:line="400" w:lineRule="exact"/>
        <w:ind w:firstLine="420"/>
        <w:jc w:val="left"/>
      </w:pPr>
      <w:r>
        <w:t>2017年11月，上海机动车检测认证技术研究中心有限公司</w:t>
      </w:r>
      <w:r>
        <w:rPr>
          <w:color w:val="000000"/>
        </w:rPr>
        <w:t>牵头成立了标准编制工作组，吸收中国质量认证中心、天津内燃机研究所（天津摩托车技术中心）、中检西部检测有限公司、千寻位置网络有限公司、雅迪科技集团有限公司、江苏新日电动车股份有限公司、五羊-本田摩托(广州)有限公司、厦门雅讯网络股份有限公司等企业共同参与标准修订工作。</w:t>
      </w:r>
    </w:p>
    <w:p>
      <w:pPr>
        <w:spacing w:line="400" w:lineRule="exact"/>
        <w:ind w:firstLine="420"/>
        <w:jc w:val="left"/>
      </w:pPr>
      <w:r>
        <w:t>2018年3月，工作组与国内多家摩托车和轻便摩托车整车厂进行技术交流，对摩托车产业的前瞻发展有了充分了解。</w:t>
      </w:r>
    </w:p>
    <w:p>
      <w:pPr>
        <w:spacing w:line="400" w:lineRule="exact"/>
        <w:ind w:firstLine="420"/>
        <w:jc w:val="left"/>
        <w:rPr>
          <w:szCs w:val="21"/>
        </w:rPr>
      </w:pPr>
      <w:r>
        <w:t>2018年4月16日，项目小组前往由国家兵器集团和阿里巴巴集团共同成立的千寻位置技术有限公司，对国内现有北斗定位技术进行了深入考察与交流。为标准后续修改的市场技术达成能力进行</w:t>
      </w:r>
      <w:r>
        <w:rPr>
          <w:szCs w:val="21"/>
        </w:rPr>
        <w:t>全面了解。</w:t>
      </w:r>
    </w:p>
    <w:p>
      <w:pPr>
        <w:spacing w:line="400" w:lineRule="exact"/>
        <w:ind w:firstLine="422"/>
        <w:jc w:val="left"/>
        <w:rPr>
          <w:b/>
          <w:bCs/>
          <w:szCs w:val="21"/>
        </w:rPr>
      </w:pPr>
      <w:r>
        <w:rPr>
          <w:rFonts w:hint="eastAsia"/>
          <w:b/>
          <w:bCs/>
          <w:szCs w:val="21"/>
        </w:rPr>
        <w:t>2.</w:t>
      </w:r>
      <w:r>
        <w:rPr>
          <w:b/>
          <w:bCs/>
          <w:szCs w:val="21"/>
        </w:rPr>
        <w:t>标准编制阶段</w:t>
      </w:r>
    </w:p>
    <w:p>
      <w:pPr>
        <w:spacing w:line="400" w:lineRule="exact"/>
        <w:ind w:firstLine="420"/>
        <w:jc w:val="left"/>
        <w:rPr>
          <w:szCs w:val="21"/>
        </w:rPr>
      </w:pPr>
      <w:r>
        <w:rPr>
          <w:szCs w:val="21"/>
        </w:rPr>
        <w:t>为了制定与国际主流管控技术保持一致、同时符合国内法律、法规及管理办法，符合中国摩托车技术发展要求，起草组针对国外主流的防盗装置管控法规、管理要求，国内法律法规和管理办法，以及中国摩托车技术和卫星导航技术的前沿展开调研和分析工作，提炼出标准修订的基本技术路线和方向。</w:t>
      </w:r>
    </w:p>
    <w:p>
      <w:pPr>
        <w:spacing w:line="400" w:lineRule="exact"/>
        <w:ind w:firstLine="420"/>
        <w:jc w:val="left"/>
        <w:rPr>
          <w:szCs w:val="21"/>
        </w:rPr>
      </w:pPr>
      <w:r>
        <w:rPr>
          <w:szCs w:val="21"/>
        </w:rPr>
        <w:t>标准修订计划于2019年9月正式下达，</w:t>
      </w:r>
      <w:r>
        <w:rPr>
          <w:color w:val="000000"/>
          <w:szCs w:val="21"/>
        </w:rPr>
        <w:t>为保证标准的先进性、科学性及适用性等，</w:t>
      </w:r>
      <w:r>
        <w:rPr>
          <w:szCs w:val="21"/>
        </w:rPr>
        <w:t>防盗装置标准工作组成员单位针对国外主流的防盗装置管控法规、管理要求，国内法律法规和管理办法，以及中国摩托车技术和卫星导航技术的前沿展开调研和分析工作，提炼出基本技术路线和方向。</w:t>
      </w:r>
    </w:p>
    <w:p>
      <w:pPr>
        <w:spacing w:line="400" w:lineRule="exact"/>
        <w:ind w:firstLine="0" w:firstLineChars="0"/>
        <w:jc w:val="left"/>
        <w:rPr>
          <w:szCs w:val="21"/>
        </w:rPr>
      </w:pPr>
      <w:r>
        <w:rPr>
          <w:szCs w:val="21"/>
        </w:rPr>
        <w:t>2019年10月31日，标准修订工作组启动会议，召开工作组会议。对于标准修订的工作计划进行分配，会上就 GB 17353《摩托车和轻便摩托车防盗装置》工作组讨论稿及项目研究清单展开了充分的讨论，从数字式钥匙概念、定位装置概念、豁免要求、检测方法、过渡期要求等方面对强标的修订内容提出了意见和建议。</w:t>
      </w:r>
    </w:p>
    <w:p>
      <w:pPr>
        <w:spacing w:line="400" w:lineRule="exact"/>
        <w:ind w:firstLine="420"/>
        <w:jc w:val="left"/>
        <w:rPr>
          <w:szCs w:val="21"/>
        </w:rPr>
      </w:pPr>
      <w:r>
        <w:rPr>
          <w:szCs w:val="21"/>
        </w:rPr>
        <w:t>2019年11月16日，起草组前往由中兵北斗应用研究院和阿里巴巴集团共同成立的千寻位置技术有限公司，就GB 17353标准中涉及的卫星定位相关技术内容进行交流。会上讨论了卫星定位技术背景，全球四大卫星导航系统建设与应用产业化发展概况，卫星导航定位终端现状及发展趋势。并对北斗产业市场应用情况，北斗交通运输市场的应用，车辆网普及应用进行了深入的沟通。北斗在国家安全和重点领域标配化使用，在大众消费领域规模化应用，正在催生“北斗+”融合应用新模式。随着技术水平的成熟及社会对卫星导航认知度的提升，高精度卫星导航定位应用的范围持续拓宽，与其他产业的融合度不断增强。随着地理信息、安全监控、健康监测、智慧城市、精准农业等领域对卫星导航定位需求的逐渐加大，高精度卫星导航定位应用市场规模呈快速扩大趋势。</w:t>
      </w:r>
    </w:p>
    <w:p>
      <w:pPr>
        <w:spacing w:line="400" w:lineRule="exact"/>
        <w:ind w:firstLine="420"/>
        <w:jc w:val="left"/>
        <w:rPr>
          <w:szCs w:val="21"/>
        </w:rPr>
      </w:pPr>
      <w:r>
        <w:rPr>
          <w:szCs w:val="21"/>
        </w:rPr>
        <w:t>2019年12月2日，起草组与国内影响较大的ublox、MTK、和芯星通、中科微、泰斗、国科微等厂商进行了交流。核心芯片是卫星导航定位系统的关键部分之一，核心芯片的优劣在很大程度上决定了不同导航定位产品的性能差异，芯片技术直接关系到导航定位产品的技术指标和未来发展走向。导航定位未来市场容量的巨大吸引力使得芯片产业得以快速发展，目前已有十余家厂商推出了GPS芯片。交流调研中，起草组对主要厂商芯片进行了分析，对定位芯片指标进行了对标，对其中主要定位芯片价格进行了调研。</w:t>
      </w:r>
    </w:p>
    <w:p>
      <w:pPr>
        <w:spacing w:line="400" w:lineRule="exact"/>
        <w:ind w:firstLine="420"/>
        <w:jc w:val="left"/>
        <w:rPr>
          <w:szCs w:val="21"/>
        </w:rPr>
      </w:pPr>
      <w:r>
        <w:rPr>
          <w:szCs w:val="21"/>
        </w:rPr>
        <w:t>摩托车防盗标准研究工作组第二次工作会议于2020年4月23日在上海召开。标准起草人汇报了标准修订涉及卫星定位装置调研情况、卫星定位装置精度检定方法调研情况，并就EMC测试与卫星定位精度测试方法、摩托车防盗装置标准修订涉及技术内容和试验验证内容与专家展开讨论，确定后续试验验证内容与方向。</w:t>
      </w:r>
    </w:p>
    <w:p>
      <w:pPr>
        <w:spacing w:line="400" w:lineRule="exact"/>
        <w:ind w:firstLine="420"/>
        <w:jc w:val="left"/>
        <w:rPr>
          <w:szCs w:val="21"/>
        </w:rPr>
      </w:pPr>
      <w:r>
        <w:rPr>
          <w:szCs w:val="21"/>
        </w:rPr>
        <w:t>2020年8月11日与智能汽车传感器检测校准实验室进行技术交流，关于标准修订中涉及的定位装置的卫星定位试验的验证方法。针对现有卫星导航系统定位试验方法，从样品部件与样品摩托车角度对水平定位精度测试进行充分沟通。初步确定树荫工况试验、高架下工况试验、空旷场地工况试验等场景的测试方法定义，并依据行业中现有BD 420005-2015 北斗/全球卫星导航系统（GNSS）导航单元性能要求及测试方法，对静动定位精度、动态定位精度、测试精度、冷启动首次定位时间、重捕获时间、捕获灵敏度、重捕获灵敏度、跟踪灵敏度等参数方面进行试验需求的讨论。拟定验证试验的方案。同时对试验涉及的检测设备进行了调试。</w:t>
      </w:r>
    </w:p>
    <w:p>
      <w:pPr>
        <w:spacing w:line="400" w:lineRule="exact"/>
        <w:ind w:firstLine="420"/>
        <w:jc w:val="left"/>
        <w:rPr>
          <w:szCs w:val="21"/>
        </w:rPr>
      </w:pPr>
      <w:r>
        <w:rPr>
          <w:szCs w:val="21"/>
        </w:rPr>
        <w:t>2020年10月20日与电子电器检测研究实验室进行技术交流，关于标准修订中涉及的定位装置的EMC试验的验证方法。会议对EMC试验涉及的车辆宽带电磁辐射发射试验（频率范围：30～1000 MHz； 测试距离：3m）和车辆窄带电磁辐射发射试验（频率范围：30～1000 MHz；测试距离：3 m）进行了充分讨论。同时对于暗室内的信号传输方法进行了沟通。完成第一阶段EMC验证试验。</w:t>
      </w:r>
    </w:p>
    <w:p>
      <w:pPr>
        <w:spacing w:line="400" w:lineRule="exact"/>
        <w:ind w:firstLine="420"/>
        <w:jc w:val="left"/>
        <w:rPr>
          <w:szCs w:val="21"/>
        </w:rPr>
      </w:pPr>
      <w:r>
        <w:rPr>
          <w:szCs w:val="21"/>
        </w:rPr>
        <w:t>摩托车分标委的标准修订工作组于2021年1月15日召开摩托车防盗标准修订会。本次会议主要对GB17353《摩托车和轻便摩托车防盗装置》的草案讨论稿进行全体讨论。</w:t>
      </w:r>
    </w:p>
    <w:p>
      <w:pPr>
        <w:spacing w:line="400" w:lineRule="exact"/>
        <w:ind w:firstLine="0" w:firstLineChars="0"/>
        <w:jc w:val="left"/>
        <w:rPr>
          <w:szCs w:val="21"/>
        </w:rPr>
      </w:pPr>
      <w:r>
        <w:rPr>
          <w:szCs w:val="21"/>
        </w:rPr>
        <w:t>2021年5月20-21日在四川成都召开全国汽车标准化技术委员会摩托车分技术委员会五届四次工作会议。结合前期工作组问卷调研情况，再次对标准技术内容进行讨论。确定定位装置作为出厂选装件，如安装应满足标准中要求，并就无锁芯车辆防盗装置要求考核、定位装置工作精度等问题基本达成共识。根据会上专家提出意见对标准草案进行修改，形成征求意见稿，面向行业和社会公开征求意见。</w:t>
      </w:r>
    </w:p>
    <w:p>
      <w:pPr>
        <w:autoSpaceDE w:val="0"/>
        <w:autoSpaceDN w:val="0"/>
        <w:adjustRightInd w:val="0"/>
        <w:spacing w:line="400" w:lineRule="exact"/>
        <w:ind w:firstLine="480"/>
        <w:jc w:val="left"/>
        <w:outlineLvl w:val="0"/>
        <w:rPr>
          <w:rFonts w:eastAsia="黑体"/>
          <w:bCs/>
          <w:color w:val="000000"/>
          <w:kern w:val="0"/>
          <w:sz w:val="24"/>
        </w:rPr>
      </w:pPr>
      <w:bookmarkStart w:id="21" w:name="_Toc64898476"/>
      <w:r>
        <w:rPr>
          <w:rFonts w:eastAsia="黑体"/>
          <w:bCs/>
          <w:color w:val="000000"/>
          <w:kern w:val="0"/>
          <w:sz w:val="24"/>
        </w:rPr>
        <w:t>二、编制原则、强制性国家标准主要技术要求的依据及理由</w:t>
      </w:r>
      <w:bookmarkEnd w:id="21"/>
    </w:p>
    <w:p>
      <w:pPr>
        <w:autoSpaceDE w:val="0"/>
        <w:autoSpaceDN w:val="0"/>
        <w:adjustRightInd w:val="0"/>
        <w:spacing w:line="400" w:lineRule="exact"/>
        <w:ind w:firstLine="422"/>
        <w:jc w:val="left"/>
        <w:outlineLvl w:val="0"/>
        <w:rPr>
          <w:b/>
          <w:szCs w:val="21"/>
        </w:rPr>
      </w:pPr>
      <w:r>
        <w:rPr>
          <w:b/>
          <w:szCs w:val="21"/>
        </w:rPr>
        <w:t>（一）编制原则</w:t>
      </w:r>
    </w:p>
    <w:p>
      <w:pPr>
        <w:autoSpaceDE w:val="0"/>
        <w:autoSpaceDN w:val="0"/>
        <w:adjustRightInd w:val="0"/>
        <w:spacing w:line="400" w:lineRule="exact"/>
        <w:ind w:firstLine="420"/>
        <w:jc w:val="left"/>
        <w:outlineLvl w:val="0"/>
      </w:pPr>
      <w:r>
        <w:rPr>
          <w:rFonts w:hint="eastAsia"/>
        </w:rPr>
        <w:t>1.</w:t>
      </w:r>
      <w:r>
        <w:t>规范性原则。本文件的在编写过程中按照 GB/T 1.1—2020《标准化工作导则第 1 部分：标准化文件的结构和起草规则》、GB/T 20000.2—2009《标准化工作指南 第2 部分：采用国际标准》、GB/T 20001.4—2014《标准编写规则 第 4 部分：方法标准》等相关标准给出的规则起草。</w:t>
      </w:r>
    </w:p>
    <w:p>
      <w:pPr>
        <w:autoSpaceDE w:val="0"/>
        <w:autoSpaceDN w:val="0"/>
        <w:adjustRightInd w:val="0"/>
        <w:spacing w:line="400" w:lineRule="exact"/>
        <w:ind w:firstLine="420"/>
        <w:jc w:val="left"/>
        <w:outlineLvl w:val="0"/>
      </w:pPr>
      <w:r>
        <w:rPr>
          <w:rFonts w:hint="eastAsia"/>
        </w:rPr>
        <w:t>2.</w:t>
      </w:r>
      <w:r>
        <w:t>科学性原则。本文件在编写过程中，贯彻《标准化法》等相关的法律法规，充分考虑了摩托车行业内相关卫星定位领域和数字式钥匙的现行标准，在深入调研的基础上，吸收和听取摩托车主机厂、检测机构的意见和建议，标准的技术指标充分调研了国内、国际标准法规的要求，标准的关键项目和关键指标均有参考来源或经过试验验证及专家论证。</w:t>
      </w:r>
    </w:p>
    <w:p>
      <w:pPr>
        <w:autoSpaceDE w:val="0"/>
        <w:autoSpaceDN w:val="0"/>
        <w:adjustRightInd w:val="0"/>
        <w:spacing w:line="400" w:lineRule="exact"/>
        <w:ind w:firstLine="420"/>
        <w:jc w:val="left"/>
        <w:outlineLvl w:val="0"/>
      </w:pPr>
      <w:r>
        <w:rPr>
          <w:rFonts w:hint="eastAsia"/>
        </w:rPr>
        <w:t>3.</w:t>
      </w:r>
      <w:r>
        <w:t>广泛性原则。本文件在编写过程广泛考虑了各种类型的摩托车及行业通用的试验方法，标准的适用范围具有相当的广泛性，在确保满足准确度要求和科学合理的前提下，充分考虑我国卫星导航系统与数字式钥匙产业发展的现状。</w:t>
      </w:r>
    </w:p>
    <w:p>
      <w:pPr>
        <w:autoSpaceDE w:val="0"/>
        <w:autoSpaceDN w:val="0"/>
        <w:adjustRightInd w:val="0"/>
        <w:spacing w:line="400" w:lineRule="exact"/>
        <w:ind w:firstLine="422"/>
        <w:jc w:val="left"/>
        <w:outlineLvl w:val="0"/>
        <w:rPr>
          <w:b/>
          <w:szCs w:val="21"/>
        </w:rPr>
      </w:pPr>
      <w:r>
        <w:rPr>
          <w:b/>
          <w:szCs w:val="21"/>
        </w:rPr>
        <w:t>（二）主要修订内容</w:t>
      </w:r>
    </w:p>
    <w:p>
      <w:pPr>
        <w:autoSpaceDE w:val="0"/>
        <w:autoSpaceDN w:val="0"/>
        <w:adjustRightInd w:val="0"/>
        <w:spacing w:line="400" w:lineRule="exact"/>
        <w:ind w:firstLine="420"/>
        <w:jc w:val="left"/>
        <w:outlineLvl w:val="0"/>
      </w:pPr>
      <w:r>
        <w:rPr>
          <w:rFonts w:hint="eastAsia"/>
        </w:rPr>
        <w:t>1.</w:t>
      </w:r>
      <w:r>
        <w:t>增加引用GB/T 25259、GB/T 39267界定的术语和定义，增加定位装置、数字式钥匙术语定义（见第3章）；</w:t>
      </w:r>
    </w:p>
    <w:p>
      <w:pPr>
        <w:autoSpaceDE w:val="0"/>
        <w:autoSpaceDN w:val="0"/>
        <w:adjustRightInd w:val="0"/>
        <w:spacing w:line="400" w:lineRule="exact"/>
        <w:ind w:firstLine="420"/>
        <w:jc w:val="left"/>
        <w:outlineLvl w:val="0"/>
      </w:pPr>
      <w:r>
        <w:rPr>
          <w:rFonts w:hint="eastAsia"/>
        </w:rPr>
        <w:t>2.</w:t>
      </w:r>
      <w:r>
        <w:t>增加了2类、3类防盗装置对电机不能起动的要求（见第4章，2014年版的第3章）；</w:t>
      </w:r>
    </w:p>
    <w:p>
      <w:pPr>
        <w:autoSpaceDE w:val="0"/>
        <w:autoSpaceDN w:val="0"/>
        <w:adjustRightInd w:val="0"/>
        <w:spacing w:line="400" w:lineRule="exact"/>
        <w:ind w:firstLine="420"/>
        <w:jc w:val="left"/>
        <w:outlineLvl w:val="0"/>
      </w:pPr>
      <w:r>
        <w:rPr>
          <w:rFonts w:hint="eastAsia"/>
        </w:rPr>
        <w:t>3.</w:t>
      </w:r>
      <w:r>
        <w:t>增加了车辆安装定位装置的要求（见5.2）</w:t>
      </w:r>
    </w:p>
    <w:p>
      <w:pPr>
        <w:spacing w:line="400" w:lineRule="exact"/>
        <w:ind w:firstLine="420"/>
      </w:pPr>
      <w:r>
        <w:t>—— 车辆定位装置可选择安装。如安装了定位装置应符合本文件要求。</w:t>
      </w:r>
    </w:p>
    <w:p>
      <w:pPr>
        <w:spacing w:line="400" w:lineRule="exact"/>
        <w:ind w:firstLine="420"/>
      </w:pPr>
      <w:r>
        <w:rPr>
          <w:rFonts w:hint="eastAsia"/>
        </w:rPr>
        <w:t>4.</w:t>
      </w:r>
      <w:r>
        <w:t>更改了防盗装置设计时应符合的要求，豁免了数字式钥匙不适用的要求（见5.3，2014年版的4.1）</w:t>
      </w:r>
    </w:p>
    <w:p>
      <w:pPr>
        <w:spacing w:line="400" w:lineRule="exact"/>
        <w:ind w:firstLine="420"/>
      </w:pPr>
      <w:r>
        <w:t>—— c）只有当锁舌完全开启或关闭时，才能将机械式钥匙拔出。即使插入机械式钥匙，也不应使其处于任何影响锁舌接合的中间位置。使用数字式钥匙车辆豁免本条款。</w:t>
      </w:r>
    </w:p>
    <w:p>
      <w:pPr>
        <w:spacing w:line="400" w:lineRule="exact"/>
        <w:ind w:firstLine="420"/>
      </w:pPr>
      <w:r>
        <w:rPr>
          <w:rFonts w:hint="eastAsia"/>
        </w:rPr>
        <w:t>5.</w:t>
      </w:r>
      <w:r>
        <w:t>增加了使用数字式钥匙时的要求（见5.4，2014年版的4.2）</w:t>
      </w:r>
    </w:p>
    <w:p>
      <w:pPr>
        <w:spacing w:line="400" w:lineRule="exact"/>
        <w:ind w:firstLine="420"/>
      </w:pPr>
      <w:r>
        <w:t>—— 通过一把机械式钥匙或数字式钥匙的独立操作即能满足5.3条所规定的要求。</w:t>
      </w:r>
    </w:p>
    <w:p>
      <w:pPr>
        <w:spacing w:line="400" w:lineRule="exact"/>
        <w:ind w:firstLine="420"/>
      </w:pPr>
      <w:r>
        <w:rPr>
          <w:rFonts w:hint="eastAsia"/>
        </w:rPr>
        <w:t>6.</w:t>
      </w:r>
      <w:r>
        <w:t>增加了数字钥匙锁止系统代码的要求（见5.8）</w:t>
      </w:r>
    </w:p>
    <w:p>
      <w:pPr>
        <w:spacing w:line="400" w:lineRule="exact"/>
        <w:ind w:firstLine="420"/>
      </w:pPr>
      <w:r>
        <w:t>——锁止系统的数字式钥匙至少应有50000种变化且编入滚动代码，和/或扫描5000种变化至少需要24 h。</w:t>
      </w:r>
    </w:p>
    <w:p>
      <w:pPr>
        <w:spacing w:line="400" w:lineRule="exact"/>
        <w:ind w:firstLine="420"/>
      </w:pPr>
      <w:r>
        <w:rPr>
          <w:rFonts w:hint="eastAsia"/>
        </w:rPr>
        <w:t>7.</w:t>
      </w:r>
      <w:r>
        <w:t>更改了锁的设计，区分有无锁芯的锁类设计要求（见5.10，2014年版的4.7）</w:t>
      </w:r>
    </w:p>
    <w:p>
      <w:pPr>
        <w:pStyle w:val="43"/>
        <w:ind w:firstLine="420" w:firstLineChars="200"/>
        <w:rPr>
          <w:rFonts w:ascii="Times New Roman"/>
        </w:rPr>
      </w:pPr>
      <w:r>
        <w:rPr>
          <w:rFonts w:ascii="Times New Roman"/>
        </w:rPr>
        <w:t>——有锁芯的锁的设计、制造和安装应保证当其处于锁止位置时，除用所配钥匙外，用任何工具均不能以小于2.45 N·m的扭矩转动锁芯。</w:t>
      </w:r>
    </w:p>
    <w:p>
      <w:pPr>
        <w:pStyle w:val="34"/>
        <w:ind w:firstLine="420"/>
        <w:rPr>
          <w:rFonts w:ascii="Times New Roman"/>
        </w:rPr>
      </w:pPr>
      <w:r>
        <w:rPr>
          <w:rFonts w:ascii="Times New Roman"/>
        </w:rPr>
        <w:t>对于带有销式制栓的锁芯，位置相邻、工作方向相同的制栓不能超过两个。在同一把锁中，相同的制栓不应超过总数的60%。</w:t>
      </w:r>
    </w:p>
    <w:p>
      <w:pPr>
        <w:spacing w:line="400" w:lineRule="exact"/>
        <w:ind w:firstLine="420"/>
      </w:pPr>
      <w:r>
        <w:t>对于带有片式制栓的锁芯，位置相邻、工作方向相同的制栓不能超过两个。在同一把锁中，相同的制栓不应超过总数的50%。</w:t>
      </w:r>
    </w:p>
    <w:p>
      <w:pPr>
        <w:spacing w:line="400" w:lineRule="exact"/>
        <w:ind w:firstLine="420"/>
      </w:pPr>
      <w:r>
        <w:rPr>
          <w:rFonts w:hint="eastAsia"/>
        </w:rPr>
        <w:t>8.</w:t>
      </w:r>
      <w:r>
        <w:t>增加了定位装置的功能（见5.15）、设计（见5.16、5.17）、结构和环境适应性要求（见5.18）</w:t>
      </w:r>
    </w:p>
    <w:p>
      <w:pPr>
        <w:spacing w:line="400" w:lineRule="exact"/>
        <w:ind w:firstLine="420"/>
      </w:pPr>
      <w:r>
        <w:t>——对于定位装置，应具有实时定位、报送功能。在车辆位置发生非授权移动时，终端应能提供实时的经度、纬度等定位状态信息。</w:t>
      </w:r>
    </w:p>
    <w:p>
      <w:pPr>
        <w:spacing w:line="400" w:lineRule="exact"/>
        <w:ind w:firstLine="420"/>
      </w:pPr>
      <w:r>
        <w:t xml:space="preserve">——定位装置的设计，在车辆行驶过程中，不能对车辆的转向机构、传动装置、动力机构进行锁止和停止运转。 </w:t>
      </w:r>
    </w:p>
    <w:p>
      <w:pPr>
        <w:spacing w:line="400" w:lineRule="exact"/>
        <w:ind w:firstLine="420"/>
      </w:pPr>
      <w:r>
        <w:t>——对于定位装置在设计时的各部分都应在安装后防止被未授权人容易而迅速地接触或用不正当手段干预，被解除警戒、使之失效，或是用廉价的、容易隐蔽的、一般公众容易携带和制造的工具所破坏。</w:t>
      </w:r>
    </w:p>
    <w:p>
      <w:pPr>
        <w:spacing w:line="400" w:lineRule="exact"/>
        <w:ind w:firstLine="420"/>
      </w:pPr>
      <w:r>
        <w:t>——定位装置结构和环境适应性应满足企业设计条件如下：</w:t>
      </w:r>
    </w:p>
    <w:p>
      <w:pPr>
        <w:spacing w:line="400" w:lineRule="exact"/>
        <w:ind w:firstLine="420"/>
      </w:pPr>
      <w:r>
        <w:t>a)工作温度：-20℃～60℃；</w:t>
      </w:r>
    </w:p>
    <w:p>
      <w:pPr>
        <w:spacing w:line="400" w:lineRule="exact"/>
        <w:ind w:firstLine="420"/>
      </w:pPr>
      <w:r>
        <w:t>b)防护等级：防护等级按 GB/T 4208-2017描述的方法测定，满足IP 65要求；</w:t>
      </w:r>
    </w:p>
    <w:p>
      <w:pPr>
        <w:spacing w:line="400" w:lineRule="exact"/>
        <w:ind w:firstLine="420"/>
      </w:pPr>
      <w:r>
        <w:t>c)电磁兼容性：按附录C描述的方法进行测试。</w:t>
      </w:r>
    </w:p>
    <w:p>
      <w:pPr>
        <w:spacing w:line="400" w:lineRule="exact"/>
        <w:ind w:firstLine="420"/>
      </w:pPr>
      <w:r>
        <w:t>9.更改了防盗装置应满足的特殊要求的表述，增加了数字钥匙的豁免要求（见6.1）</w:t>
      </w:r>
    </w:p>
    <w:p>
      <w:pPr>
        <w:spacing w:line="400" w:lineRule="exact"/>
        <w:ind w:firstLine="420"/>
      </w:pPr>
      <w:r>
        <w:t xml:space="preserve">——除一般要求外，1类至4类防盗装置还应满足以下特殊要求： </w:t>
      </w:r>
    </w:p>
    <w:p>
      <w:pPr>
        <w:spacing w:line="400" w:lineRule="exact"/>
        <w:ind w:firstLine="420"/>
      </w:pPr>
      <w:r>
        <w:t>a)对于1类或2类的防盗装置，机械式钥匙仅在钥匙转动时车辆被锁止（数字式钥匙豁免）；方向把或转向盘处于适当的位置时，锁舌与相应的槽相接合；</w:t>
      </w:r>
    </w:p>
    <w:p>
      <w:pPr>
        <w:spacing w:line="400" w:lineRule="exact"/>
        <w:ind w:firstLine="420"/>
      </w:pPr>
      <w:r>
        <w:t>b)对于3类防盗装置，它应该通过车辆部件上的单独动作或转动钥匙预先关闭锁舌。如果锁舌被预先关闭，钥匙应不能被拔出，除非与5.3 c)相一致。</w:t>
      </w:r>
    </w:p>
    <w:p>
      <w:pPr>
        <w:spacing w:line="400" w:lineRule="exact"/>
        <w:ind w:firstLine="420"/>
      </w:pPr>
      <w:r>
        <w:t>10.增加了装有定位装置的车辆应满足的要求（见6.5）、精度要求（见6.6）、定位装置信号输出的要求（见6.7）</w:t>
      </w:r>
    </w:p>
    <w:p>
      <w:pPr>
        <w:spacing w:line="400" w:lineRule="exact"/>
        <w:ind w:firstLine="420"/>
      </w:pPr>
      <w:r>
        <w:t>——对于利用全球卫星导航系统对车辆进行位置定位的定位装置，装置系统至少内置一种或多种卫星定位系统。</w:t>
      </w:r>
    </w:p>
    <w:p>
      <w:pPr>
        <w:spacing w:line="400" w:lineRule="exact"/>
        <w:ind w:firstLine="420"/>
      </w:pPr>
      <w:r>
        <w:t>——对于定位装置，空旷环境工作状态下，在HDOP≤4时达到以下精度：</w:t>
      </w:r>
    </w:p>
    <w:p>
      <w:pPr>
        <w:spacing w:line="400" w:lineRule="exact"/>
        <w:ind w:firstLine="840" w:firstLineChars="400"/>
      </w:pPr>
      <w:r>
        <w:t xml:space="preserve">静态水平定位精度优于10m（CEP 95%）； </w:t>
      </w:r>
    </w:p>
    <w:p>
      <w:pPr>
        <w:spacing w:line="400" w:lineRule="exact"/>
        <w:ind w:firstLine="840" w:firstLineChars="400"/>
      </w:pPr>
      <w:r>
        <w:t>动态水平定位精度优于10m（CEP 95%）。</w:t>
      </w:r>
    </w:p>
    <w:p>
      <w:pPr>
        <w:spacing w:line="400" w:lineRule="exact"/>
        <w:ind w:firstLine="420"/>
      </w:pPr>
      <w:r>
        <w:t>——对于定位装置，在车辆内需预留信号检测接口或预留平台检测账号，输出信号数据格式满足NEMA-0183 语句格式。</w:t>
      </w:r>
    </w:p>
    <w:p>
      <w:pPr>
        <w:spacing w:line="400" w:lineRule="exact"/>
        <w:ind w:firstLine="420"/>
      </w:pPr>
      <w:r>
        <w:t>11.更改了标准实施过渡期要求（见第7章，2014年版第6章）；</w:t>
      </w:r>
    </w:p>
    <w:p>
      <w:pPr>
        <w:spacing w:line="400" w:lineRule="exact"/>
        <w:ind w:firstLine="420"/>
      </w:pPr>
      <w:r>
        <w:t>12.修改了3类防盗装置的循环试验（见附录A，2014年版附录B）；</w:t>
      </w:r>
    </w:p>
    <w:p>
      <w:pPr>
        <w:spacing w:line="400" w:lineRule="exact"/>
        <w:ind w:firstLine="420"/>
      </w:pPr>
      <w:r>
        <w:t>13.增加了电子式钥匙防盗装置的电磁兼容性试验（见规范性附录B）；</w:t>
      </w:r>
    </w:p>
    <w:p>
      <w:pPr>
        <w:spacing w:line="400" w:lineRule="exact"/>
        <w:ind w:firstLine="420"/>
      </w:pPr>
      <w:r>
        <w:t>——增加了定位装置的电磁兼容性试验（见规范性附录C）在原有车辆电波暗室设备的基础上，需要增加与车载GPS定位系统建立卫星信号连接的测试设备，采用卫星信号模拟器进行动态定位工况模拟。</w:t>
      </w:r>
    </w:p>
    <w:p>
      <w:pPr>
        <w:spacing w:line="400" w:lineRule="exact"/>
        <w:ind w:firstLine="420"/>
      </w:pPr>
      <w:r>
        <w:t>在车辆进入暗室前，测试设备准备就绪。暗室内安装信号放大装置，将外部的2G/4G网络引入暗室内部，以便于云端数据的传输，并且采用矢量信号发生器装置，能够在试验过程中模拟发出虚拟的动态定位信息。</w:t>
      </w:r>
    </w:p>
    <w:p>
      <w:pPr>
        <w:spacing w:line="400" w:lineRule="exact"/>
        <w:ind w:firstLine="420"/>
      </w:pPr>
      <w:r>
        <w:t>车辆进入暗室后，调节信号模拟器参数，调整链路功率大小，确保链路连接稳定，车载卫星接收机电平处于接收机动态范围内，车辆上电，确保车载GPS能够正常工作。</w:t>
      </w:r>
    </w:p>
    <w:p>
      <w:pPr>
        <w:spacing w:line="400" w:lineRule="exact"/>
        <w:ind w:firstLine="420"/>
      </w:pPr>
      <w:r>
        <w:t>根据上述标准法规中所规定的技术参数进行试验（见下表试验技术方案），试验时长为10分钟，测试过程中，记录并关注云端输出的参数。</w:t>
      </w:r>
    </w:p>
    <w:p>
      <w:pPr>
        <w:spacing w:line="400" w:lineRule="exact"/>
        <w:ind w:firstLine="420"/>
      </w:pPr>
      <w:r>
        <w:t>将信号源中的定位数据信息导出与云端平台接收到的定位信息进行时间轴上的经纬度比对，判断定位偏差距离和偏差点数，分析在试验过程中车辆GPS信号实时的变化情况。</w:t>
      </w:r>
    </w:p>
    <w:p>
      <w:pPr>
        <w:spacing w:line="400" w:lineRule="exact"/>
        <w:ind w:firstLine="420"/>
      </w:pPr>
      <w:r>
        <w:t>14.增加了定位装置的卫星定位性能试验方法（见规范性附录D）</w:t>
      </w:r>
    </w:p>
    <w:p>
      <w:pPr>
        <w:spacing w:line="400" w:lineRule="exact"/>
        <w:ind w:firstLine="420"/>
      </w:pPr>
      <w:r>
        <w:t>——静态定位试验：使用厘米级卫星导航系统，接入卫星信号模拟器中，在空旷环境工作状态下，连续录制1h以上定位数据。</w:t>
      </w:r>
    </w:p>
    <w:p>
      <w:pPr>
        <w:spacing w:line="400" w:lineRule="exact"/>
        <w:ind w:firstLine="420"/>
      </w:pPr>
      <w:r>
        <w:t>将卫星信号模拟器接入被测定位装置的射频输入口，连续测试1h以上，将获取的定位数据与模拟信号标准点坐标进行比较，计算定位精度的标准差，应符合6.6的要求。</w:t>
      </w:r>
    </w:p>
    <w:p>
      <w:pPr>
        <w:spacing w:line="400" w:lineRule="exact"/>
        <w:ind w:firstLine="420"/>
      </w:pPr>
      <w:r>
        <w:t>动态定位试验：使用厘米级卫星导航系统，接入卫星信号模拟器中，在空旷环境工作状态下，录制如下定位数据：以5m/s±1m/s的速度，沿直线运行至少1min～2min，然后在5s内沿同一直线将速度降到0。</w:t>
      </w:r>
      <w:r>
        <w:tab/>
      </w:r>
    </w:p>
    <w:p>
      <w:pPr>
        <w:spacing w:line="400" w:lineRule="exact"/>
        <w:ind w:firstLine="420"/>
      </w:pPr>
      <w:r>
        <w:t>以2.5m/s±0.5m/s的速度，在水平面沿直线运动至少100m，并在运动中相对直线两侧以11s~12s周期均匀偏移2m，保持至少2min。</w:t>
      </w:r>
    </w:p>
    <w:p>
      <w:pPr>
        <w:spacing w:line="400" w:lineRule="exact"/>
        <w:ind w:firstLine="420"/>
      </w:pPr>
      <w:r>
        <w:t>被测定位装置接收模拟器输出的射频仿真信号，每秒钟输出一次定位数据，以模拟器仿真的用户位置作为标准位置，计算定位精度的标准差，应符合6.6的要求。</w:t>
      </w:r>
    </w:p>
    <w:p>
      <w:pPr>
        <w:autoSpaceDE w:val="0"/>
        <w:autoSpaceDN w:val="0"/>
        <w:adjustRightInd w:val="0"/>
        <w:spacing w:line="400" w:lineRule="exact"/>
        <w:ind w:firstLine="422"/>
        <w:jc w:val="left"/>
        <w:outlineLvl w:val="0"/>
        <w:rPr>
          <w:b/>
          <w:szCs w:val="21"/>
        </w:rPr>
      </w:pPr>
      <w:r>
        <w:rPr>
          <w:b/>
          <w:szCs w:val="21"/>
        </w:rPr>
        <w:t>（三）依据及理由</w:t>
      </w:r>
    </w:p>
    <w:p>
      <w:pPr>
        <w:autoSpaceDE w:val="0"/>
        <w:autoSpaceDN w:val="0"/>
        <w:adjustRightInd w:val="0"/>
        <w:spacing w:line="400" w:lineRule="exact"/>
        <w:ind w:firstLine="422"/>
        <w:jc w:val="left"/>
        <w:outlineLvl w:val="0"/>
        <w:rPr>
          <w:b/>
          <w:bCs/>
        </w:rPr>
      </w:pPr>
      <w:r>
        <w:rPr>
          <w:b/>
          <w:bCs/>
        </w:rPr>
        <w:t>1.标准调研问卷</w:t>
      </w:r>
    </w:p>
    <w:p>
      <w:pPr>
        <w:spacing w:line="400" w:lineRule="exact"/>
        <w:ind w:firstLine="420"/>
      </w:pPr>
      <w:r>
        <w:t>为使《摩托车和轻便摩托车防盗装置》标准的制修订内容更科学合理，标准起草工作组于2021年3月开展深入调研与意见征集，为标准的起草提供依据。截止当年4月27日，共回收调研问卷32份。其中，受访者包含第三方检测机构协会6家，整车企业26家。工作组对调研问卷信息整理汇报如下：</w:t>
      </w:r>
    </w:p>
    <w:p>
      <w:pPr>
        <w:spacing w:line="400" w:lineRule="exact"/>
        <w:ind w:firstLine="420"/>
      </w:pPr>
      <w:r>
        <w:t>（1）标准涉及新增定位装置的安装是建议强制安装还是选择安装的问题。</w:t>
      </w:r>
    </w:p>
    <w:p>
      <w:pPr>
        <w:spacing w:line="400" w:lineRule="exact"/>
        <w:ind w:firstLine="420"/>
      </w:pPr>
      <w:r>
        <w:t>32份问卷报告中，其中可接受强制安装的受访企业反馈3份。建议选择安装的企业单位反馈28份。1份问卷未给出意见。从问卷数据信息近九成相关企业从不同角度分析，建议对标准涉及新增定位装置的安装是以选装方式进行实施。</w:t>
      </w:r>
    </w:p>
    <w:p>
      <w:pPr>
        <w:spacing w:line="400" w:lineRule="exact"/>
        <w:ind w:firstLine="420"/>
      </w:pPr>
      <w:r>
        <w:t>（2）对于选装原因的调研。</w:t>
      </w:r>
    </w:p>
    <w:p>
      <w:pPr>
        <w:spacing w:line="400" w:lineRule="exact"/>
        <w:ind w:firstLine="420"/>
      </w:pPr>
      <w:r>
        <w:t>对问题1中建议选装定位装置的企业进行进一步调研，对选装原因进行分析和总结。对于建议选装定位装置的原因分析后可发现，选装的原因考虑主要集中在“定位装置与防盗装置本身的性质区别角度”，近8成的企业表述定位装置与防盗装置存在技术差别。</w:t>
      </w:r>
    </w:p>
    <w:p>
      <w:pPr>
        <w:spacing w:line="400" w:lineRule="exact"/>
        <w:ind w:firstLine="420"/>
      </w:pPr>
      <w:r>
        <w:t>其次各企业关注的是“定位装置安装后所产生的一次性成本与长期的通信成本”的影响。同时可见大部分企业对于现有定位装置的技术还是比较有信心的，而技术的后续服务难度任存在一定疑问。也有多家企业从消费者角度考虑给予了一定的建议：消费者不一定需求该功能，强制性将定位装置安装于每台车辆上，相当于强制用户上报其位置信息及日常行动轨迹，用户被迫将个人隐私交给他人，不能有效保护个人隐私。定位装置的安装和定位服务应由用户根据车辆价值和个人使用需求来自行选择。如果消费者选择自行拆除，这增加生产企业和用户的成本并且造成了不必要的浪费。</w:t>
      </w:r>
    </w:p>
    <w:p>
      <w:pPr>
        <w:spacing w:line="400" w:lineRule="exact"/>
        <w:ind w:firstLine="420"/>
        <w:rPr>
          <w:rFonts w:hint="eastAsia"/>
        </w:rPr>
      </w:pPr>
      <w:r>
        <w:t>（3）术</w:t>
      </w:r>
      <w:r>
        <w:rPr>
          <w:rFonts w:hint="eastAsia"/>
        </w:rPr>
        <w:t>语“防盗装置</w:t>
      </w:r>
      <w:r>
        <w:t>protective device</w:t>
      </w:r>
      <w:r>
        <w:rPr>
          <w:rFonts w:hint="eastAsia" w:ascii="仿宋_GB2312" w:hAnsi="仿宋_GB2312" w:eastAsia="仿宋_GB2312" w:cs="仿宋_GB2312"/>
        </w:rPr>
        <w:t>”保</w:t>
      </w:r>
      <w:r>
        <w:t>持2014版定义不变；新</w:t>
      </w:r>
      <w:r>
        <w:rPr>
          <w:rFonts w:hint="eastAsia"/>
        </w:rPr>
        <w:t>增“定位装置</w:t>
      </w:r>
      <w:r>
        <w:t>positioning device</w:t>
      </w:r>
      <w:r>
        <w:rPr>
          <w:rFonts w:hint="eastAsia" w:ascii="华文宋体" w:hAnsi="华文宋体" w:eastAsia="华文宋体" w:cs="华文宋体"/>
        </w:rPr>
        <w:t>”定义</w:t>
      </w:r>
    </w:p>
    <w:p>
      <w:pPr>
        <w:spacing w:line="400" w:lineRule="exact"/>
        <w:ind w:firstLine="420"/>
      </w:pPr>
      <w:r>
        <w:t>在前几次的工作组会议各企业的充分沟通后，建议不把定位装置归类到防盗装置中，另外新增“定位装置 positioning device</w:t>
      </w:r>
      <w:r>
        <w:rPr>
          <w:rFonts w:hint="eastAsia"/>
        </w:rPr>
        <w:t>”定义。</w:t>
      </w:r>
      <w:r>
        <w:t>绝大部分企业同意新增定位装置定义与防盗装置进行区别。也有企业认为定位装置不属于防盗装置，因此建议用另外的标准来进行定义，而不是一起写入防盗标准中。</w:t>
      </w:r>
    </w:p>
    <w:p>
      <w:pPr>
        <w:spacing w:line="400" w:lineRule="exact"/>
        <w:ind w:firstLine="420"/>
      </w:pPr>
      <w:r>
        <w:t>（4）术</w:t>
      </w:r>
      <w:r>
        <w:rPr>
          <w:rFonts w:hint="eastAsia" w:ascii="宋体" w:hAnsi="宋体" w:eastAsia="宋体" w:cs="宋体"/>
        </w:rPr>
        <w:t>语“机械</w:t>
      </w:r>
      <w:r>
        <w:t>式钥匙mechanical key</w:t>
      </w:r>
      <w:r>
        <w:rPr>
          <w:rFonts w:hint="eastAsia" w:ascii="宋体" w:hAnsi="宋体" w:eastAsia="宋体" w:cs="宋体"/>
        </w:rPr>
        <w:t>”修改为：“用于只</w:t>
      </w:r>
      <w:r>
        <w:t>能对同一辆车上一件或多件锁止系统进行锁止或解除锁止的机械部件”。</w:t>
      </w:r>
    </w:p>
    <w:p>
      <w:pPr>
        <w:spacing w:line="400" w:lineRule="exact"/>
        <w:ind w:firstLine="420"/>
        <w:rPr>
          <w:rFonts w:hint="eastAsia" w:ascii="宋体" w:hAnsi="宋体" w:eastAsia="宋体" w:cs="宋体"/>
        </w:rPr>
      </w:pPr>
      <w:r>
        <w:t>对于将机械式钥匙定义修改成：“用于只能对同一辆车上一件或多件锁止系统进行锁止或解除锁止的机械部件”的建议调研。90%以上的受访企业</w:t>
      </w:r>
      <w:r>
        <w:rPr>
          <w:rFonts w:hint="eastAsia" w:ascii="宋体" w:hAnsi="宋体" w:eastAsia="宋体" w:cs="宋体"/>
        </w:rPr>
        <w:t>同意定义的修改内容。另外有受访企业建议：“同一辆车上一件或多件锁止系统进行锁止或解除锁止的机械部件”这个概念太大，会和发动机内部零部件功能重合。也有企业建议修改为：“能对锁止系统进行操作的机械部件，并且仅能通过该机械部件进行操作”。理由：原文中的“只能”意思不对，锁止系统的数量没必要强调。</w:t>
      </w:r>
    </w:p>
    <w:p>
      <w:pPr>
        <w:spacing w:line="400" w:lineRule="exact"/>
        <w:ind w:firstLine="420"/>
      </w:pPr>
      <w:r>
        <w:t>（5）新增术语“数字式钥匙digital key”：车辆用户通过专用程序向一个或多个终端通信，对同一车辆上一个或多个锁止系统进行锁止或解除锁止的部件。注：仅适用于生产厂在车辆第一次出厂前的随车部件。</w:t>
      </w:r>
    </w:p>
    <w:p>
      <w:pPr>
        <w:spacing w:line="400" w:lineRule="exact"/>
        <w:ind w:firstLine="420"/>
      </w:pPr>
      <w:r>
        <w:t>对于新增“数字式钥匙”定义的进行调研。调研结果80%以上的受访者同意新增数字式钥匙的定义。另外有企业建议：“车辆用户通过专用程序向一个或多个终端通信”表述欠妥当，因为车辆用户不能直接通过专用程序进行相关操作，程序是代码，而代码是通过载体起作用，因此用户操作的是程序的载体，而不是程序本身。建议修改为：“车辆用户通过操作随车部件向一个或多个终端通信，通信的结果可以对同一车辆上一个或多个锁止系统进行锁止或解除锁止，具有该功能的随车部件被称为数字钥匙。注：仅适用于生产厂在车辆第一次出厂前的随车部件。”还有企业建议：术语“数字式钥匙”中需补充定义：数字式钥匙在功能缺失的情况下，需有其他备用的方法进行解除锁止状态。另有企业建议：通信终端也好，锁止系统也好，没必要强调“一个或多个”，建议删除。理由：1辆车上一般只有1个车辆锁止装置，最好不要把“鞍座锁”“装电瓶的侧盖锁”等混入防盗装置的范畴，避免执行争议（譬如：鞍座钥匙上有编号应该不违反GB本意）该结果提议对于数字钥匙的定义以及处理数字钥匙系统的导入的妥当性和其描述进行充分的确认以及讨论。</w:t>
      </w:r>
    </w:p>
    <w:p>
      <w:pPr>
        <w:spacing w:line="400" w:lineRule="exact"/>
        <w:ind w:firstLine="420"/>
      </w:pPr>
      <w:r>
        <w:t>（6）新增4.2 定位装置分类，即“利用卫星导航系统对车辆进行定位防盗”；原2014版中1-4类为4.1防盗装置分类。</w:t>
      </w:r>
    </w:p>
    <w:p>
      <w:pPr>
        <w:spacing w:line="400" w:lineRule="exact"/>
        <w:ind w:firstLine="420"/>
      </w:pPr>
      <w:r>
        <w:t>修改为：4.1防盗装置 1类：只对转向机构进行锁止；2类：能锁止转向机构，并能使发动机不能启动或不能驱动电动机；3类：预加载荷锁止转向机构，并能使发动机不能启动或不能驱动电动机；4类：传动装置的锁止。4.2 定位装置利用卫星导航系统对车辆进行定位的附加功能。</w:t>
      </w:r>
    </w:p>
    <w:p>
      <w:pPr>
        <w:spacing w:line="400" w:lineRule="exact"/>
        <w:ind w:firstLine="420"/>
      </w:pPr>
      <w:r>
        <w:t>对于防盗装置与定位装置的分类进行调研。调研内容中新增定位装置的类别与防盗装置进行区分。</w:t>
      </w:r>
    </w:p>
    <w:p>
      <w:pPr>
        <w:spacing w:line="400" w:lineRule="exact"/>
        <w:ind w:firstLine="0" w:firstLineChars="0"/>
      </w:pPr>
      <w:r>
        <w:t>绝大部分企业同意新增定位装置的类别与防盗装置进行区分。有企业建议改为定位通讯装置。</w:t>
      </w:r>
    </w:p>
    <w:p>
      <w:pPr>
        <w:spacing w:line="400" w:lineRule="exact"/>
        <w:ind w:firstLine="420"/>
      </w:pPr>
      <w:r>
        <w:t>（7）通过一把机械式钥匙转动一次，或通过一把数字式钥匙与车辆通信即能满足5.1条（2014版的4.1条）所规定的要求。建议对通信后的指令执行进行补充定义。</w:t>
      </w:r>
    </w:p>
    <w:p>
      <w:pPr>
        <w:spacing w:line="400" w:lineRule="exact"/>
        <w:ind w:firstLine="420"/>
      </w:pPr>
      <w:r>
        <w:t>对数字式钥匙的开启形式进行定义调研。80%以上受访企业同意对通信后的指令执行进行定义。爱玛建议在此基础上增加c、电子解除/锁定锁舌，解除后电子控制旋转锁舌伸缩。数字是钥匙指令需描述清楚是否必须带有锁舌这类机械锁止机构？数字钥匙与车辆通讯有两种意思：1、有电子信号进行设防解防即可；2、除了1条所列功能外还必须要通过电子手段控制锁舌的伸缩；如果是第2条需考虑产品的可靠性，可对各厂家进行产品/方案的调研。（市场上目前有两种电子龙头锁具：a、直接电子控制锁舌的伸缩；b、电子解除/锁定锁舌，解除后手动旋转锁舌的伸缩）有企业建议应考虑过于细化的定义是否会限制企业技术路线的自主选择性。关于数字钥匙的导入的妥当性在UNR62的讨论已经结束了，还没有反映在法规里面。现定义的内容约束可能会限制技术的创新和发展。天摩所建议改为：“通过一把机械式钥匙或数字式钥匙的一步操作即能满足5.1条所规定的要求。”原因是（1）“通过一把数字式钥匙与车辆通信”此处的“通信”含义比较模糊，无法准确表明动作如何实施。（2）根据欧洲标准ECER  62中的条款“5.2 The requirements of paragraph 5.1 shall be met by the single application of one key.”，其表达的意思主要有两个方面，一是强调“通过一把钥匙”，二是强调“通过一次运用（操作）”，对于本条款，只要能够准确的表达出以上两个要求即可。（3）此处的“通信”我简单理解为信号的连接，只要数字式钥匙靠近车辆，信号即可自动连接实现通信，不需要人为进行其他的操作。并且，结合目前已经被应用的数字式钥匙，通信（钥匙在车辆附近）后都需要通过按压或者旋转等人为操作才可以实现锁止。（4）如果对通信后的指令执行进行补充定义，有可能会限制“通过一次运用（操作）”的动作形式，不利于企业的创新和科技的发展。</w:t>
      </w:r>
    </w:p>
    <w:p>
      <w:pPr>
        <w:spacing w:line="400" w:lineRule="exact"/>
        <w:ind w:firstLine="420"/>
      </w:pPr>
      <w:r>
        <w:t>（8）建议删除“防盗装置应作为一个原装部件安装在车辆上（即该装置由生产厂在车辆第一次销售前安装在车辆上）。1至4类涉及车锁应牢固地安装在防盗装置中（如在取走覆盖件或其他固定装置后，并用机械式钥匙开启锁舌后，或数字式钥匙开启通信后，才能将车锁取出）。”的内容。）</w:t>
      </w:r>
    </w:p>
    <w:p>
      <w:pPr>
        <w:spacing w:line="400" w:lineRule="exact"/>
        <w:ind w:firstLine="420"/>
      </w:pPr>
      <w:r>
        <w:t>调研受访企业仅有半数同意该修改条款。对于反对该条款的企业意见如下：该条款与欧洲标准ECE R62第5.4条款要求一致，为了做到与国际接轨。防盗装置作为一个强制性认证和检验项目，必须是要作为原装部件安装在车辆上。如果不强制性安装在车辆上，就不需要也无法进行强制性认证。如果删除该条款，有可能导致有些生产厂家在车辆设计、制造和销售时不安装防盗装置，那么如果车辆就通过外部设备，如一条铁链，将车辆锁止，也能够起到防盗的作用，但是这样就违背了制定本标准的意义。该条款还需要工作组进行有效的调研与沟通后给出详细意见。</w:t>
      </w:r>
    </w:p>
    <w:p>
      <w:pPr>
        <w:spacing w:line="400" w:lineRule="exact"/>
        <w:ind w:firstLine="420"/>
      </w:pPr>
      <w:r>
        <w:t>（9）机械式钥匙或数字式钥匙和锁上不应有相关逻辑关系的可见代码。</w:t>
      </w:r>
    </w:p>
    <w:p>
      <w:pPr>
        <w:spacing w:line="400" w:lineRule="exact"/>
        <w:ind w:firstLine="420"/>
      </w:pPr>
      <w:r>
        <w:t>对于各种形式钥匙上是否需要显示代码描述进行调研。近8成受访企业同意在钥匙上不应有相关逻辑关系的可见代码。有企业感觉该条款还存在执行的困难性。</w:t>
      </w:r>
    </w:p>
    <w:p>
      <w:pPr>
        <w:spacing w:line="400" w:lineRule="exact"/>
        <w:ind w:firstLine="420"/>
      </w:pPr>
      <w:r>
        <w:t>（10）锁的设计、制造和安装应保证当其处于锁止位置时，除用所配机械式钥匙外，用任何工具均不能以小于2.45 N·m的扭矩转动锁芯。（对于使用数字式钥匙车辆豁免该条款）。对条款内容进行丰富，满足不同物理锁舌的需求。</w:t>
      </w:r>
    </w:p>
    <w:p>
      <w:pPr>
        <w:spacing w:line="400" w:lineRule="exact"/>
        <w:ind w:firstLine="420"/>
      </w:pPr>
      <w:r>
        <w:t>对于机械钥匙的转动扭矩进行进行数字式钥匙的豁免定义的调研。大部分受访企业同意该条款。有企业认为数字式钥匙控制锁具，同样需要一定的扭矩转动锁芯，无需豁免条款。</w:t>
      </w:r>
    </w:p>
    <w:p>
      <w:pPr>
        <w:spacing w:line="400" w:lineRule="exact"/>
        <w:ind w:firstLine="420"/>
      </w:pPr>
      <w:r>
        <w:t>（11）对于定位装置，应具有实时定位、报送功能。在车辆位置发生非授权移动时，终端应能提供实时的时间、经度、纬度等定位状态信息，通过无线通信方式上传。</w:t>
      </w:r>
    </w:p>
    <w:p>
      <w:pPr>
        <w:spacing w:line="400" w:lineRule="exact"/>
        <w:ind w:firstLine="420"/>
      </w:pPr>
      <w:r>
        <w:t>对定位装置的功能进行定义调研。绝大部分受访企业同意该条款。有企业认为应考虑定位装置处于信号通讯正常时才能达到要求，信号通讯异常时无法满足要求（如车辆处于地下车库，隧道等无信号区域，或遭受信号屏蔽区域）。</w:t>
      </w:r>
    </w:p>
    <w:p>
      <w:pPr>
        <w:spacing w:line="400" w:lineRule="exact"/>
        <w:ind w:firstLine="420"/>
      </w:pPr>
      <w:r>
        <w:t>（12）对于定位装置的各部分都应在安装后防止被未授权人容易而迅速地接触或用不正当手段干预，被解除警戒、使之失效，或是用廉价的、隐蔽的、公众能够携带和配备的工具所破坏。</w:t>
      </w:r>
    </w:p>
    <w:p>
      <w:pPr>
        <w:spacing w:line="400" w:lineRule="exact"/>
        <w:ind w:firstLine="420"/>
      </w:pPr>
      <w:r>
        <w:t>对于定位装置的安全性进行定义调研。大部分受访企业同意该条款。有企业认为需要对工具、时间上进行定义。</w:t>
      </w:r>
    </w:p>
    <w:p>
      <w:pPr>
        <w:spacing w:line="400" w:lineRule="exact"/>
        <w:ind w:firstLine="420"/>
      </w:pPr>
      <w:r>
        <w:t>（13）定位装置的防护等级按照 GB/T 4208-2017的要求适用于代码 IP 65 条件。</w:t>
      </w:r>
    </w:p>
    <w:p>
      <w:pPr>
        <w:spacing w:line="400" w:lineRule="exact"/>
        <w:ind w:firstLine="420"/>
      </w:pPr>
      <w:r>
        <w:t>对于定位装置的防护等级进行定义调研。绝大部分受访企业同意该条款。有企业认为IP65等级防水，在高压水枪洗车时可能存在隐患。也有企业认为考虑定位装置在车辆上的不同安装位置情况，不建议对防护等级做出硬性统一要求。</w:t>
      </w:r>
    </w:p>
    <w:p>
      <w:pPr>
        <w:spacing w:line="400" w:lineRule="exact"/>
        <w:ind w:firstLine="420"/>
      </w:pPr>
      <w:r>
        <w:t>（14）对于1类/2类的防盗装置，机械式钥匙仅在钥匙转动时车辆被锁止，方向把（方向盘）处于适当的位置时，锁舌与相应的槽相接合。建议在“仅在钥匙转动时车辆被锁止”添加“或通过其他机构进行锁止”的内容。</w:t>
      </w:r>
    </w:p>
    <w:p>
      <w:pPr>
        <w:spacing w:line="400" w:lineRule="exact"/>
        <w:ind w:firstLine="420"/>
      </w:pPr>
      <w:r>
        <w:t>对于原机械钥匙对车辆锁止功能上添加对其他机构进行锁止的功能进行调研。绝大部分受访企业同意该条款。有企业认为对于1类/2类的防盗装置，机械式钥匙仅在钥匙发生动作时车辆被锁止，方向把（方向盘）处于适当的位置时，锁舌与相应的槽相接合。</w:t>
      </w:r>
    </w:p>
    <w:p>
      <w:pPr>
        <w:spacing w:line="400" w:lineRule="exact"/>
        <w:ind w:firstLine="420"/>
      </w:pPr>
      <w:r>
        <w:t>（15）对于定位装置，在工作状态下，在HDOP≤4（空旷环境）时，静态水平定位精度优于10m（CEP 95%）；在HDOP≤4（空旷环境）时，动态水平定位精度优于10m（CEP 95%）。</w:t>
      </w:r>
    </w:p>
    <w:p>
      <w:pPr>
        <w:spacing w:line="400" w:lineRule="exact"/>
        <w:ind w:firstLine="420"/>
      </w:pPr>
      <w:r>
        <w:t>对于定位装置的性能参数进行定义调研。绝大部分受访企业同意该条款。有企业认为10m的定位精度需要再确认一下成本和精度实现简易程度，后续仍旧需要进行验证。</w:t>
      </w:r>
    </w:p>
    <w:p>
      <w:pPr>
        <w:spacing w:line="400" w:lineRule="exact"/>
        <w:ind w:firstLine="420"/>
      </w:pPr>
      <w:r>
        <w:t>（16）对于定位装置，在车辆内需预留信号检测接口，输出信号数据格式满足NEMA-0183语句格式。</w:t>
      </w:r>
    </w:p>
    <w:p>
      <w:pPr>
        <w:spacing w:line="400" w:lineRule="exact"/>
        <w:ind w:firstLine="420"/>
      </w:pPr>
      <w:r>
        <w:t>对于定位装置</w:t>
      </w:r>
      <w:bookmarkStart w:id="32" w:name="_GoBack"/>
      <w:bookmarkEnd w:id="32"/>
      <w:r>
        <w:t>的信号接口形式进行定义。有超过半数的受访企业同意该条款。有部分企业认为接口并入ECU检测接口内共用。也有少部分企业不同意预留接口认为会给设计及生产遗留较大影响。</w:t>
      </w:r>
    </w:p>
    <w:p>
      <w:pPr>
        <w:autoSpaceDE w:val="0"/>
        <w:autoSpaceDN w:val="0"/>
        <w:adjustRightInd w:val="0"/>
        <w:spacing w:line="400" w:lineRule="exact"/>
        <w:ind w:firstLine="422"/>
        <w:jc w:val="left"/>
        <w:outlineLvl w:val="0"/>
        <w:rPr>
          <w:b/>
          <w:szCs w:val="21"/>
        </w:rPr>
      </w:pPr>
      <w:r>
        <w:rPr>
          <w:rFonts w:hint="eastAsia"/>
          <w:b/>
          <w:szCs w:val="21"/>
        </w:rPr>
        <w:t>2.</w:t>
      </w:r>
      <w:r>
        <w:rPr>
          <w:b/>
          <w:szCs w:val="21"/>
        </w:rPr>
        <w:t>试验验证</w:t>
      </w:r>
    </w:p>
    <w:p>
      <w:pPr>
        <w:autoSpaceDE w:val="0"/>
        <w:autoSpaceDN w:val="0"/>
        <w:adjustRightInd w:val="0"/>
        <w:spacing w:line="400" w:lineRule="exact"/>
        <w:ind w:firstLine="420"/>
        <w:jc w:val="left"/>
        <w:outlineLvl w:val="0"/>
        <w:rPr>
          <w:bCs/>
        </w:rPr>
      </w:pPr>
      <w:r>
        <w:rPr>
          <w:rFonts w:hint="eastAsia"/>
          <w:bCs/>
          <w:szCs w:val="21"/>
        </w:rPr>
        <w:t>（1）</w:t>
      </w:r>
      <w:r>
        <w:rPr>
          <w:bCs/>
        </w:rPr>
        <w:t>第一阶段验证试验</w:t>
      </w:r>
    </w:p>
    <w:p>
      <w:pPr>
        <w:spacing w:line="400" w:lineRule="exact"/>
        <w:ind w:firstLine="420"/>
      </w:pPr>
      <w:r>
        <w:t>标准起草工作组于2020年11月23日至12月4日开展第一阶段为期两周的全面验证试验，本次试验对5个摩托车样品进行定位及EMC试验验证，收集试验数据为后续确定试验方法进行深入调研，通过此次试验基本确认标准涉及的试验方案。（完整试验内容见附件1）。</w:t>
      </w:r>
    </w:p>
    <w:p>
      <w:pPr>
        <w:spacing w:line="400" w:lineRule="exact"/>
        <w:ind w:firstLine="420"/>
      </w:pPr>
      <w:r>
        <w:rPr>
          <w:rFonts w:hint="eastAsia"/>
        </w:rPr>
        <w:t>（2）</w:t>
      </w:r>
      <w:r>
        <w:t>第二阶段验证试验</w:t>
      </w:r>
    </w:p>
    <w:p>
      <w:pPr>
        <w:spacing w:line="400" w:lineRule="exact"/>
        <w:ind w:firstLine="420"/>
      </w:pPr>
      <w:r>
        <w:t>标准起草工作组与2021年5月3日至7日开展为期一周的第二阶段验证试验，本次试验对1个摩托车样品进行完善后的试验进行全流程验证。在试验后发现EMC试验着重于对骚扰后定位装置永久性损坏进行了测试，但对骚扰过程中的定位装置状态缺乏验证。试验方法需要在第三阶段验收试验前进行完善。（完整试验内容见附件2）。</w:t>
      </w:r>
    </w:p>
    <w:p>
      <w:pPr>
        <w:spacing w:line="400" w:lineRule="exact"/>
        <w:ind w:firstLine="420"/>
      </w:pPr>
      <w:r>
        <w:rPr>
          <w:rFonts w:hint="eastAsia"/>
        </w:rPr>
        <w:t>（3）</w:t>
      </w:r>
      <w:r>
        <w:t>第三阶段验证试验</w:t>
      </w:r>
    </w:p>
    <w:p>
      <w:pPr>
        <w:spacing w:line="400" w:lineRule="exact"/>
        <w:ind w:firstLine="420"/>
      </w:pPr>
      <w:r>
        <w:t>标准起草工作组与2021年6月8日至18日开展为期两周的第三阶段验证试验，本次试验对4个摩托车样品进行最终试验全流程验证。本次试验对标准内涉及的试验内容进行充分论证，同时完成试验方法定型。（完整试验内容见附件3）。</w:t>
      </w:r>
    </w:p>
    <w:p>
      <w:pPr>
        <w:autoSpaceDE w:val="0"/>
        <w:autoSpaceDN w:val="0"/>
        <w:adjustRightInd w:val="0"/>
        <w:spacing w:line="400" w:lineRule="exact"/>
        <w:ind w:firstLine="480"/>
        <w:jc w:val="left"/>
        <w:outlineLvl w:val="0"/>
        <w:rPr>
          <w:rFonts w:eastAsia="黑体"/>
          <w:bCs/>
          <w:color w:val="000000"/>
          <w:kern w:val="0"/>
          <w:sz w:val="24"/>
        </w:rPr>
      </w:pPr>
      <w:bookmarkStart w:id="22" w:name="_Toc64898477"/>
      <w:r>
        <w:rPr>
          <w:rFonts w:eastAsia="黑体"/>
          <w:bCs/>
          <w:color w:val="000000"/>
          <w:kern w:val="0"/>
          <w:sz w:val="24"/>
        </w:rPr>
        <w:t>三、与有关法律、行政法规和其他标准的关系</w:t>
      </w:r>
      <w:bookmarkEnd w:id="22"/>
    </w:p>
    <w:p>
      <w:pPr>
        <w:spacing w:line="400" w:lineRule="exact"/>
        <w:ind w:firstLine="420"/>
      </w:pPr>
      <w:r>
        <w:t>GB 17353由以下部分组成：范围、规范性引用文件、术语和定义、分类、一般要求、特殊要求。其规定了摩托车和轻便摩托车防盗装置的安装要求，属于强制性范围。本标准本身为摩托车、电动摩托车准入要求，未被其他标准引用，无其他配套标准。</w:t>
      </w:r>
    </w:p>
    <w:p>
      <w:pPr>
        <w:autoSpaceDE w:val="0"/>
        <w:autoSpaceDN w:val="0"/>
        <w:adjustRightInd w:val="0"/>
        <w:spacing w:line="400" w:lineRule="exact"/>
        <w:ind w:firstLine="480"/>
        <w:jc w:val="left"/>
        <w:outlineLvl w:val="0"/>
        <w:rPr>
          <w:rFonts w:eastAsia="黑体"/>
          <w:bCs/>
          <w:color w:val="000000"/>
          <w:kern w:val="0"/>
          <w:sz w:val="24"/>
        </w:rPr>
      </w:pPr>
      <w:bookmarkStart w:id="23" w:name="_Toc64898478"/>
      <w:r>
        <w:rPr>
          <w:rFonts w:eastAsia="黑体"/>
          <w:bCs/>
          <w:color w:val="000000"/>
          <w:kern w:val="0"/>
          <w:sz w:val="24"/>
        </w:rPr>
        <w:t>四、与国际标准化组织、其他国家或者地区有关法律法规和标准的比对分析</w:t>
      </w:r>
      <w:bookmarkEnd w:id="23"/>
    </w:p>
    <w:p>
      <w:pPr>
        <w:autoSpaceDE w:val="0"/>
        <w:autoSpaceDN w:val="0"/>
        <w:adjustRightInd w:val="0"/>
        <w:spacing w:line="400" w:lineRule="exact"/>
        <w:ind w:firstLine="422"/>
        <w:jc w:val="left"/>
        <w:outlineLvl w:val="0"/>
        <w:rPr>
          <w:b/>
          <w:color w:val="000000"/>
          <w:kern w:val="0"/>
          <w:szCs w:val="21"/>
        </w:rPr>
      </w:pPr>
      <w:r>
        <w:rPr>
          <w:rFonts w:hint="eastAsia"/>
          <w:b/>
          <w:color w:val="000000"/>
          <w:kern w:val="0"/>
          <w:szCs w:val="21"/>
        </w:rPr>
        <w:t>1.</w:t>
      </w:r>
      <w:r>
        <w:rPr>
          <w:b/>
          <w:color w:val="000000"/>
          <w:kern w:val="0"/>
          <w:szCs w:val="21"/>
        </w:rPr>
        <w:t>采用国际标准和国外先进标准的情况</w:t>
      </w:r>
    </w:p>
    <w:p>
      <w:pPr>
        <w:autoSpaceDE w:val="0"/>
        <w:autoSpaceDN w:val="0"/>
        <w:adjustRightInd w:val="0"/>
        <w:spacing w:line="400" w:lineRule="exact"/>
        <w:ind w:firstLine="420"/>
        <w:jc w:val="left"/>
        <w:outlineLvl w:val="0"/>
        <w:rPr>
          <w:bCs/>
          <w:color w:val="000000"/>
          <w:kern w:val="0"/>
          <w:szCs w:val="21"/>
        </w:rPr>
      </w:pPr>
      <w:r>
        <w:rPr>
          <w:bCs/>
          <w:color w:val="000000"/>
          <w:kern w:val="0"/>
          <w:szCs w:val="21"/>
        </w:rPr>
        <w:t>国外防盗技术起步较早，政府也针对防盗性能制定了严格的法律法规，同时微电子技术和计算机软件技术的进步也推动了市场对汽车防盗技术进行研究和升级。最初的机械防盗装置也逐步融合了电子防盗功能，防盗装置技术整体向多功能化，网络化发展。</w:t>
      </w:r>
    </w:p>
    <w:p>
      <w:pPr>
        <w:autoSpaceDE w:val="0"/>
        <w:autoSpaceDN w:val="0"/>
        <w:adjustRightInd w:val="0"/>
        <w:spacing w:line="400" w:lineRule="exact"/>
        <w:ind w:firstLine="420"/>
        <w:jc w:val="left"/>
        <w:outlineLvl w:val="0"/>
        <w:rPr>
          <w:bCs/>
          <w:color w:val="000000"/>
          <w:kern w:val="0"/>
          <w:szCs w:val="21"/>
        </w:rPr>
      </w:pPr>
      <w:r>
        <w:rPr>
          <w:bCs/>
          <w:color w:val="000000"/>
          <w:kern w:val="0"/>
          <w:szCs w:val="21"/>
        </w:rPr>
        <w:t>目前在汽车方面，目前现行的GB 15740《汽车防盗装置》修改采用ECE R18-02。2010年GB/T 25985《汽车防盗装置的保护》标准发布，该标准修改采用了ECE R116-02系列。GB 20816《车辆防盗报警系统乘用车》修改采用IEC 60839，该标准适用于防盗装置的前装与后装市场。</w:t>
      </w:r>
    </w:p>
    <w:p>
      <w:pPr>
        <w:autoSpaceDE w:val="0"/>
        <w:autoSpaceDN w:val="0"/>
        <w:adjustRightInd w:val="0"/>
        <w:spacing w:line="400" w:lineRule="exact"/>
        <w:ind w:firstLine="422"/>
        <w:jc w:val="left"/>
        <w:outlineLvl w:val="0"/>
        <w:rPr>
          <w:b/>
          <w:color w:val="000000"/>
          <w:kern w:val="0"/>
          <w:szCs w:val="21"/>
        </w:rPr>
      </w:pPr>
      <w:r>
        <w:rPr>
          <w:rFonts w:hint="eastAsia"/>
          <w:b/>
          <w:color w:val="000000"/>
          <w:kern w:val="0"/>
          <w:szCs w:val="21"/>
        </w:rPr>
        <w:t>2.</w:t>
      </w:r>
      <w:r>
        <w:rPr>
          <w:b/>
          <w:color w:val="000000"/>
          <w:kern w:val="0"/>
          <w:szCs w:val="21"/>
        </w:rPr>
        <w:t>与国际同类标准水平的对比情况</w:t>
      </w:r>
    </w:p>
    <w:p>
      <w:pPr>
        <w:autoSpaceDE w:val="0"/>
        <w:autoSpaceDN w:val="0"/>
        <w:adjustRightInd w:val="0"/>
        <w:spacing w:line="400" w:lineRule="exact"/>
        <w:ind w:firstLine="420"/>
        <w:jc w:val="left"/>
        <w:outlineLvl w:val="0"/>
        <w:rPr>
          <w:bCs/>
          <w:color w:val="000000"/>
          <w:kern w:val="0"/>
          <w:szCs w:val="21"/>
        </w:rPr>
      </w:pPr>
      <w:r>
        <w:rPr>
          <w:bCs/>
          <w:color w:val="000000"/>
          <w:kern w:val="0"/>
          <w:szCs w:val="21"/>
        </w:rPr>
        <w:t>本标准修订过程中参考采用联合国欧洲经济委员会ECE R62法规《关于带方向把机动车辆防盗装置的统一规定》。与ECE R62相比在结构上有较多调整。</w:t>
      </w:r>
    </w:p>
    <w:p>
      <w:pPr>
        <w:autoSpaceDE w:val="0"/>
        <w:autoSpaceDN w:val="0"/>
        <w:adjustRightInd w:val="0"/>
        <w:spacing w:line="400" w:lineRule="exact"/>
        <w:ind w:firstLine="420"/>
        <w:jc w:val="left"/>
        <w:outlineLvl w:val="0"/>
        <w:rPr>
          <w:rFonts w:eastAsia="黑体"/>
          <w:bCs/>
          <w:color w:val="000000"/>
          <w:kern w:val="0"/>
          <w:sz w:val="24"/>
        </w:rPr>
      </w:pPr>
      <w:r>
        <w:rPr>
          <w:bCs/>
          <w:color w:val="000000"/>
          <w:kern w:val="0"/>
          <w:szCs w:val="21"/>
        </w:rPr>
        <w:t>2018年10月9日至12日，关于UN ECE R62（轻便摩托车L1/摩托车L3防盗）第3号增补提案，增加以激活或关闭防止车辆被未经授权的使用的设备的机电和电子设备的规定。通过插入新的机电和电子设备，如应答器-即使没有机械钥匙的传统功能-也可以根据UNECE R62成为型式认证的一部分。该变化点使得R62与允许类似的机电和电子设备，以防止未经授权使用M1和N1级车辆的R116一致。该建议旨在容许类似的装置使用在R 62适用的车辆。</w:t>
      </w:r>
    </w:p>
    <w:p>
      <w:pPr>
        <w:autoSpaceDE w:val="0"/>
        <w:autoSpaceDN w:val="0"/>
        <w:adjustRightInd w:val="0"/>
        <w:spacing w:line="400" w:lineRule="exact"/>
        <w:ind w:firstLine="480"/>
        <w:jc w:val="left"/>
        <w:outlineLvl w:val="0"/>
        <w:rPr>
          <w:rFonts w:eastAsia="黑体"/>
          <w:bCs/>
          <w:color w:val="000000"/>
          <w:kern w:val="0"/>
          <w:sz w:val="24"/>
        </w:rPr>
      </w:pPr>
      <w:bookmarkStart w:id="24" w:name="_Toc64898479"/>
      <w:r>
        <w:rPr>
          <w:rFonts w:eastAsia="黑体"/>
          <w:bCs/>
          <w:color w:val="000000"/>
          <w:kern w:val="0"/>
          <w:sz w:val="24"/>
        </w:rPr>
        <w:t>五、重大分歧意见的处理过程、处理意见及其依据</w:t>
      </w:r>
      <w:bookmarkEnd w:id="24"/>
    </w:p>
    <w:p>
      <w:pPr>
        <w:autoSpaceDE w:val="0"/>
        <w:autoSpaceDN w:val="0"/>
        <w:adjustRightInd w:val="0"/>
        <w:spacing w:line="400" w:lineRule="exact"/>
        <w:ind w:firstLine="420"/>
        <w:jc w:val="left"/>
        <w:outlineLvl w:val="0"/>
        <w:rPr>
          <w:bCs/>
          <w:color w:val="000000"/>
          <w:kern w:val="0"/>
          <w:szCs w:val="21"/>
        </w:rPr>
      </w:pPr>
      <w:r>
        <w:rPr>
          <w:bCs/>
          <w:color w:val="000000"/>
          <w:kern w:val="0"/>
          <w:szCs w:val="21"/>
        </w:rPr>
        <w:t>无。</w:t>
      </w:r>
    </w:p>
    <w:p>
      <w:pPr>
        <w:autoSpaceDE w:val="0"/>
        <w:autoSpaceDN w:val="0"/>
        <w:adjustRightInd w:val="0"/>
        <w:spacing w:line="400" w:lineRule="exact"/>
        <w:ind w:firstLine="480"/>
        <w:jc w:val="left"/>
        <w:outlineLvl w:val="0"/>
        <w:rPr>
          <w:rFonts w:eastAsia="黑体"/>
          <w:bCs/>
          <w:color w:val="000000"/>
          <w:kern w:val="0"/>
          <w:sz w:val="24"/>
        </w:rPr>
      </w:pPr>
      <w:bookmarkStart w:id="25" w:name="_Toc64898480"/>
      <w:r>
        <w:rPr>
          <w:rFonts w:eastAsia="黑体"/>
          <w:bCs/>
          <w:color w:val="000000"/>
          <w:kern w:val="0"/>
          <w:sz w:val="24"/>
        </w:rPr>
        <w:t>六、对强制性国家标准自发布日期至实施日期之间的过渡期的建议及理由</w:t>
      </w:r>
      <w:bookmarkEnd w:id="25"/>
    </w:p>
    <w:p>
      <w:pPr>
        <w:spacing w:line="400" w:lineRule="exact"/>
        <w:ind w:firstLine="420"/>
        <w:rPr>
          <w:rFonts w:hint="eastAsia"/>
        </w:rPr>
      </w:pPr>
      <w:bookmarkStart w:id="26" w:name="_Toc64898481"/>
      <w:r>
        <w:rPr>
          <w:rFonts w:hint="eastAsia"/>
        </w:rPr>
        <w:t>本标准的实施过渡期考虑如下：</w:t>
      </w:r>
    </w:p>
    <w:p>
      <w:pPr>
        <w:spacing w:line="400" w:lineRule="exact"/>
        <w:ind w:firstLine="420"/>
      </w:pPr>
      <w:r>
        <w:rPr>
          <w:rFonts w:hint="eastAsia"/>
        </w:rPr>
        <w:t>（1）对于新申请型式批准的产品，自本文件实施之日起开始执行。</w:t>
      </w:r>
    </w:p>
    <w:p>
      <w:pPr>
        <w:spacing w:line="400" w:lineRule="exact"/>
        <w:ind w:firstLine="420"/>
      </w:pPr>
      <w:r>
        <w:rPr>
          <w:rFonts w:hint="eastAsia"/>
        </w:rPr>
        <w:t>（2）对于已获得型式批准的产品，自本文件实施之日起第</w:t>
      </w:r>
      <w:r>
        <w:rPr>
          <w:rFonts w:hint="eastAsia"/>
          <w:lang w:val="en-US" w:eastAsia="zh-CN"/>
        </w:rPr>
        <w:t>13</w:t>
      </w:r>
      <w:r>
        <w:rPr>
          <w:rFonts w:hint="eastAsia"/>
        </w:rPr>
        <w:t>个月开始执行。</w:t>
      </w:r>
    </w:p>
    <w:p>
      <w:pPr>
        <w:spacing w:line="400" w:lineRule="exact"/>
        <w:ind w:firstLine="480"/>
      </w:pPr>
      <w:r>
        <w:rPr>
          <w:rFonts w:eastAsia="黑体"/>
          <w:bCs/>
          <w:color w:val="000000"/>
          <w:kern w:val="0"/>
          <w:sz w:val="24"/>
        </w:rPr>
        <w:t>七、与实施强制性国家标准有关的政策措施</w:t>
      </w:r>
      <w:bookmarkEnd w:id="26"/>
      <w:bookmarkStart w:id="27" w:name="_Toc64898482"/>
    </w:p>
    <w:p>
      <w:pPr>
        <w:autoSpaceDE w:val="0"/>
        <w:autoSpaceDN w:val="0"/>
        <w:adjustRightInd w:val="0"/>
        <w:spacing w:line="400" w:lineRule="exact"/>
        <w:ind w:firstLine="420"/>
        <w:jc w:val="left"/>
        <w:outlineLvl w:val="0"/>
      </w:pPr>
      <w:r>
        <w:t>工业和信息化部发布了《道路机动车辆生产企业及产品准入管理办法》（工业和信息化部令第50 号），通过《道路机动车辆生产企业及产品公告》对道路机动车辆生产企业及产品进行准入管理。本强制性国家标准已纳入该管理体系，由国家工业和信息化部依据本标准对相关产品进行准入管理，并依法对违反强制性国家标准的行为进行处理。</w:t>
      </w:r>
    </w:p>
    <w:p>
      <w:pPr>
        <w:autoSpaceDE w:val="0"/>
        <w:autoSpaceDN w:val="0"/>
        <w:adjustRightInd w:val="0"/>
        <w:spacing w:line="400" w:lineRule="exact"/>
        <w:ind w:firstLine="420"/>
        <w:jc w:val="left"/>
        <w:outlineLvl w:val="0"/>
      </w:pPr>
      <w:r>
        <w:t>《中华人民共和国标准化法》第二十五条规定“不符合强制性标准的产品、服务，不得生产、销售、进口或者提供”；第三十六条规定“生产、销售、进口产品或者提供服务不符合强制性标准，或者企业生产的产品、提供的服务不符合其公开标准的技术要求的，依法承担民事责任”。</w:t>
      </w:r>
    </w:p>
    <w:p>
      <w:pPr>
        <w:autoSpaceDE w:val="0"/>
        <w:autoSpaceDN w:val="0"/>
        <w:adjustRightInd w:val="0"/>
        <w:spacing w:line="400" w:lineRule="exact"/>
        <w:ind w:firstLine="420"/>
        <w:jc w:val="left"/>
        <w:outlineLvl w:val="0"/>
      </w:pPr>
      <w:r>
        <w:t>《中华人民共和国产品质量法》第十三条明确规定，“可能危及人体健康和人身、财产安全的工业产品，必须符合保障人体健康和人身、财产安全的国家标准、行业标准”。</w:t>
      </w:r>
    </w:p>
    <w:p>
      <w:pPr>
        <w:autoSpaceDE w:val="0"/>
        <w:autoSpaceDN w:val="0"/>
        <w:adjustRightInd w:val="0"/>
        <w:spacing w:line="400" w:lineRule="exact"/>
        <w:ind w:firstLine="420"/>
        <w:jc w:val="left"/>
        <w:outlineLvl w:val="0"/>
      </w:pPr>
      <w:r>
        <w:t>工信部发布的《车辆生产企业及产品生产一致性监督管理办法》中也明确提出，“工业和信息化部通过生产一致性监督检查，确认车辆生产企业生产和销售的产品是否符合一致性要求，是否符合国家政策和管理规定以及强制性标准、法规要求”。</w:t>
      </w:r>
      <w:bookmarkEnd w:id="27"/>
    </w:p>
    <w:p>
      <w:pPr>
        <w:autoSpaceDE w:val="0"/>
        <w:autoSpaceDN w:val="0"/>
        <w:adjustRightInd w:val="0"/>
        <w:spacing w:line="400" w:lineRule="exact"/>
        <w:ind w:firstLine="480"/>
        <w:jc w:val="left"/>
        <w:outlineLvl w:val="0"/>
        <w:rPr>
          <w:rFonts w:eastAsia="黑体"/>
          <w:bCs/>
          <w:color w:val="000000"/>
          <w:kern w:val="0"/>
          <w:sz w:val="24"/>
        </w:rPr>
      </w:pPr>
      <w:bookmarkStart w:id="28" w:name="_Toc64898483"/>
      <w:r>
        <w:rPr>
          <w:rFonts w:eastAsia="黑体"/>
          <w:bCs/>
          <w:color w:val="000000"/>
          <w:kern w:val="0"/>
          <w:sz w:val="24"/>
        </w:rPr>
        <w:t>八、是否需要对外通报的建议及理由</w:t>
      </w:r>
    </w:p>
    <w:p>
      <w:pPr>
        <w:autoSpaceDE w:val="0"/>
        <w:autoSpaceDN w:val="0"/>
        <w:adjustRightInd w:val="0"/>
        <w:spacing w:line="400" w:lineRule="exact"/>
        <w:ind w:firstLine="420"/>
        <w:jc w:val="left"/>
        <w:outlineLvl w:val="0"/>
        <w:rPr>
          <w:bCs/>
          <w:color w:val="000000"/>
          <w:kern w:val="0"/>
          <w:szCs w:val="21"/>
        </w:rPr>
      </w:pPr>
      <w:r>
        <w:rPr>
          <w:bCs/>
          <w:color w:val="000000"/>
          <w:kern w:val="0"/>
          <w:szCs w:val="21"/>
        </w:rPr>
        <w:t>本标准为强制性国家标准，部分技术条款与国际标准或者与有关国际标准技术要求不完全一致，且本标准涉及人身健康和生命财产安全，依据《强制性国家标准管理办法》与世界贸易组织的要求，需要进行WTO/TBT 通报。</w:t>
      </w:r>
    </w:p>
    <w:p>
      <w:pPr>
        <w:autoSpaceDE w:val="0"/>
        <w:autoSpaceDN w:val="0"/>
        <w:adjustRightInd w:val="0"/>
        <w:spacing w:line="400" w:lineRule="exact"/>
        <w:ind w:firstLine="480"/>
        <w:jc w:val="left"/>
        <w:outlineLvl w:val="0"/>
        <w:rPr>
          <w:rFonts w:eastAsia="黑体"/>
          <w:bCs/>
          <w:color w:val="000000"/>
          <w:kern w:val="0"/>
          <w:sz w:val="24"/>
        </w:rPr>
      </w:pPr>
      <w:r>
        <w:rPr>
          <w:rFonts w:eastAsia="黑体"/>
          <w:bCs/>
          <w:color w:val="000000"/>
          <w:kern w:val="0"/>
          <w:sz w:val="24"/>
        </w:rPr>
        <w:t>九、废止现行有关标准的建议</w:t>
      </w:r>
      <w:bookmarkEnd w:id="28"/>
    </w:p>
    <w:p>
      <w:pPr>
        <w:autoSpaceDE w:val="0"/>
        <w:autoSpaceDN w:val="0"/>
        <w:adjustRightInd w:val="0"/>
        <w:spacing w:line="400" w:lineRule="exact"/>
        <w:ind w:firstLine="420"/>
        <w:jc w:val="left"/>
        <w:outlineLvl w:val="0"/>
        <w:rPr>
          <w:bCs/>
          <w:color w:val="000000"/>
          <w:kern w:val="0"/>
          <w:szCs w:val="21"/>
        </w:rPr>
      </w:pPr>
      <w:r>
        <w:rPr>
          <w:bCs/>
          <w:color w:val="000000"/>
          <w:kern w:val="0"/>
          <w:szCs w:val="21"/>
        </w:rPr>
        <w:t>本标准全部替代GB 17353-2014《摩托车和轻便摩托车防盗装置》。</w:t>
      </w:r>
    </w:p>
    <w:p>
      <w:pPr>
        <w:autoSpaceDE w:val="0"/>
        <w:autoSpaceDN w:val="0"/>
        <w:adjustRightInd w:val="0"/>
        <w:spacing w:line="400" w:lineRule="exact"/>
        <w:ind w:firstLine="480"/>
        <w:jc w:val="left"/>
        <w:outlineLvl w:val="0"/>
        <w:rPr>
          <w:rFonts w:eastAsia="黑体"/>
          <w:bCs/>
          <w:color w:val="000000"/>
          <w:kern w:val="0"/>
          <w:sz w:val="24"/>
        </w:rPr>
      </w:pPr>
      <w:bookmarkStart w:id="29" w:name="_Toc64898484"/>
      <w:r>
        <w:rPr>
          <w:rFonts w:eastAsia="黑体"/>
          <w:bCs/>
          <w:color w:val="000000"/>
          <w:kern w:val="0"/>
          <w:sz w:val="24"/>
        </w:rPr>
        <w:t>十、涉及专利的有关说明</w:t>
      </w:r>
      <w:bookmarkEnd w:id="29"/>
    </w:p>
    <w:p>
      <w:pPr>
        <w:autoSpaceDE w:val="0"/>
        <w:autoSpaceDN w:val="0"/>
        <w:adjustRightInd w:val="0"/>
        <w:spacing w:line="400" w:lineRule="exact"/>
        <w:ind w:firstLine="420"/>
        <w:jc w:val="left"/>
        <w:outlineLvl w:val="0"/>
        <w:rPr>
          <w:bCs/>
          <w:color w:val="000000"/>
          <w:kern w:val="0"/>
          <w:szCs w:val="21"/>
        </w:rPr>
      </w:pPr>
      <w:r>
        <w:rPr>
          <w:bCs/>
          <w:color w:val="000000"/>
          <w:kern w:val="0"/>
          <w:szCs w:val="21"/>
        </w:rPr>
        <w:t>本标准不涉及专利问题。</w:t>
      </w:r>
      <w:bookmarkStart w:id="30" w:name="_Toc64898485"/>
    </w:p>
    <w:p>
      <w:pPr>
        <w:autoSpaceDE w:val="0"/>
        <w:autoSpaceDN w:val="0"/>
        <w:adjustRightInd w:val="0"/>
        <w:spacing w:line="400" w:lineRule="exact"/>
        <w:ind w:firstLine="480"/>
        <w:jc w:val="left"/>
        <w:outlineLvl w:val="0"/>
        <w:rPr>
          <w:rFonts w:eastAsia="黑体"/>
          <w:bCs/>
          <w:color w:val="000000"/>
          <w:kern w:val="0"/>
          <w:sz w:val="24"/>
        </w:rPr>
      </w:pPr>
      <w:r>
        <w:rPr>
          <w:rFonts w:eastAsia="黑体"/>
          <w:bCs/>
          <w:color w:val="000000"/>
          <w:kern w:val="0"/>
          <w:sz w:val="24"/>
        </w:rPr>
        <w:t>十一、强制性国家标准所涉及的产品、过程或者服务目录</w:t>
      </w:r>
      <w:bookmarkEnd w:id="30"/>
    </w:p>
    <w:p>
      <w:pPr>
        <w:autoSpaceDE w:val="0"/>
        <w:autoSpaceDN w:val="0"/>
        <w:adjustRightInd w:val="0"/>
        <w:spacing w:line="400" w:lineRule="exact"/>
        <w:ind w:firstLine="420"/>
        <w:jc w:val="left"/>
        <w:outlineLvl w:val="0"/>
        <w:rPr>
          <w:bCs/>
          <w:color w:val="000000"/>
          <w:kern w:val="0"/>
          <w:szCs w:val="21"/>
        </w:rPr>
      </w:pPr>
      <w:r>
        <w:rPr>
          <w:bCs/>
          <w:color w:val="000000"/>
          <w:kern w:val="0"/>
          <w:szCs w:val="21"/>
        </w:rPr>
        <w:t>本标准为修订标准，全部替代GB 17353-2014《摩托车和轻便摩托车防盗装置》。所涉及产品主要包括摩托车和轻便摩托车。</w:t>
      </w:r>
    </w:p>
    <w:p>
      <w:pPr>
        <w:autoSpaceDE w:val="0"/>
        <w:autoSpaceDN w:val="0"/>
        <w:adjustRightInd w:val="0"/>
        <w:spacing w:line="400" w:lineRule="exact"/>
        <w:ind w:firstLine="480"/>
        <w:jc w:val="left"/>
        <w:outlineLvl w:val="0"/>
        <w:rPr>
          <w:rFonts w:eastAsia="黑体"/>
          <w:bCs/>
          <w:color w:val="000000"/>
          <w:kern w:val="0"/>
          <w:sz w:val="24"/>
        </w:rPr>
      </w:pPr>
      <w:bookmarkStart w:id="31" w:name="_Toc64898486"/>
      <w:r>
        <w:rPr>
          <w:rFonts w:eastAsia="黑体"/>
          <w:bCs/>
          <w:color w:val="000000"/>
          <w:kern w:val="0"/>
          <w:sz w:val="24"/>
        </w:rPr>
        <w:t>十二、其他应当予以说明的事项</w:t>
      </w:r>
      <w:bookmarkEnd w:id="20"/>
      <w:bookmarkEnd w:id="31"/>
    </w:p>
    <w:p>
      <w:pPr>
        <w:autoSpaceDE w:val="0"/>
        <w:autoSpaceDN w:val="0"/>
        <w:adjustRightInd w:val="0"/>
        <w:spacing w:line="400" w:lineRule="exact"/>
        <w:ind w:firstLine="420"/>
        <w:jc w:val="left"/>
        <w:outlineLvl w:val="0"/>
        <w:rPr>
          <w:bCs/>
          <w:color w:val="000000"/>
          <w:kern w:val="0"/>
          <w:szCs w:val="21"/>
        </w:rPr>
      </w:pPr>
      <w:r>
        <w:rPr>
          <w:bCs/>
          <w:color w:val="000000"/>
          <w:kern w:val="0"/>
          <w:szCs w:val="21"/>
        </w:rPr>
        <w:t>无。</w:t>
      </w:r>
    </w:p>
    <w:p>
      <w:pPr>
        <w:widowControl/>
        <w:spacing w:line="240" w:lineRule="auto"/>
        <w:ind w:firstLine="0" w:firstLineChars="0"/>
        <w:jc w:val="left"/>
        <w:rPr>
          <w:bCs/>
          <w:color w:val="000000"/>
          <w:kern w:val="0"/>
          <w:szCs w:val="21"/>
        </w:rPr>
      </w:pPr>
    </w:p>
    <w:sectPr>
      <w:footerReference r:id="rId8" w:type="first"/>
      <w:footerReference r:id="rId6" w:type="default"/>
      <w:headerReference r:id="rId5" w:type="even"/>
      <w:footerReference r:id="rId7" w:type="even"/>
      <w:pgSz w:w="11906" w:h="16838"/>
      <w:pgMar w:top="1440" w:right="1800" w:bottom="1440" w:left="1800" w:header="851" w:footer="992"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PMingLiU">
    <w:altName w:val="Droid Sans Fallback"/>
    <w:panose1 w:val="02010601000101010101"/>
    <w:charset w:val="88"/>
    <w:family w:val="roman"/>
    <w:pitch w:val="default"/>
    <w:sig w:usb0="00000000" w:usb1="00000000" w:usb2="00000016" w:usb3="00000000" w:csb0="00100001" w:csb1="00000000"/>
  </w:font>
  <w:font w:name="等线 Light">
    <w:altName w:val="华文中宋"/>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等线 Light">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Droid Sans Fallback">
    <w:panose1 w:val="020B0502000000000001"/>
    <w:charset w:val="86"/>
    <w:family w:val="auto"/>
    <w:pitch w:val="default"/>
    <w:sig w:usb0="910002FF" w:usb1="2BDFFCFB" w:usb2="00000036" w:usb3="00000000" w:csb0="203F01FF" w:csb1="D7FF0000"/>
  </w:font>
  <w:font w:name="方正小标宋简体">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姚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74518379"/>
                          </w:sdtPr>
                          <w:sdtContent>
                            <w:p>
                              <w:pPr>
                                <w:pStyle w:val="13"/>
                                <w:ind w:firstLine="360"/>
                                <w:jc w:val="center"/>
                              </w:pPr>
                              <w:r>
                                <w:fldChar w:fldCharType="begin"/>
                              </w:r>
                              <w:r>
                                <w:instrText xml:space="preserve">PAGE   \* MERGEFORMAT</w:instrText>
                              </w:r>
                              <w:r>
                                <w:fldChar w:fldCharType="separate"/>
                              </w:r>
                              <w:r>
                                <w:rPr>
                                  <w:lang w:val="zh-CN"/>
                                </w:rPr>
                                <w:t>5</w:t>
                              </w:r>
                              <w:r>
                                <w:fldChar w:fldCharType="end"/>
                              </w:r>
                            </w:p>
                          </w:sdtContent>
                        </w:sdt>
                        <w:p>
                          <w:pPr>
                            <w:ind w:firstLine="420"/>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7KXZ0hYCAAAbBAAADgAAAAAAAAABACAAAAA1AQAAZHJzL2Uyb0RvYy54bWxQSwUGAAAAAAYA&#10;BgBZAQAAvQUAAAAA&#10;">
              <v:fill on="f" focussize="0,0"/>
              <v:stroke on="f" weight="0.5pt"/>
              <v:imagedata o:title=""/>
              <o:lock v:ext="edit" aspectratio="f"/>
              <v:textbox inset="0mm,0mm,0mm,0mm" style="mso-fit-shape-to-text:t;">
                <w:txbxContent>
                  <w:sdt>
                    <w:sdtPr>
                      <w:id w:val="1274518379"/>
                    </w:sdtPr>
                    <w:sdtContent>
                      <w:p>
                        <w:pPr>
                          <w:pStyle w:val="13"/>
                          <w:ind w:firstLine="360"/>
                          <w:jc w:val="center"/>
                        </w:pPr>
                        <w:r>
                          <w:fldChar w:fldCharType="begin"/>
                        </w:r>
                        <w:r>
                          <w:instrText xml:space="preserve">PAGE   \* MERGEFORMAT</w:instrText>
                        </w:r>
                        <w:r>
                          <w:fldChar w:fldCharType="separate"/>
                        </w:r>
                        <w:r>
                          <w:rPr>
                            <w:lang w:val="zh-CN"/>
                          </w:rPr>
                          <w:t>5</w:t>
                        </w:r>
                        <w:r>
                          <w:fldChar w:fldCharType="end"/>
                        </w:r>
                      </w:p>
                    </w:sdtContent>
                  </w:sdt>
                  <w:p>
                    <w:pPr>
                      <w:ind w:firstLine="420"/>
                    </w:pPr>
                  </w:p>
                </w:txbxContent>
              </v:textbox>
            </v:shape>
          </w:pict>
        </mc:Fallback>
      </mc:AlternateContent>
    </w:r>
  </w:p>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6552361"/>
                          </w:sdtPr>
                          <w:sdtContent>
                            <w:p>
                              <w:pPr>
                                <w:pStyle w:val="13"/>
                                <w:ind w:firstLine="360"/>
                                <w:jc w:val="center"/>
                              </w:pPr>
                              <w:r>
                                <w:fldChar w:fldCharType="begin"/>
                              </w:r>
                              <w:r>
                                <w:instrText xml:space="preserve">PAGE   \* MERGEFORMAT</w:instrText>
                              </w:r>
                              <w:r>
                                <w:fldChar w:fldCharType="separate"/>
                              </w:r>
                              <w:r>
                                <w:rPr>
                                  <w:lang w:val="zh-CN"/>
                                </w:rPr>
                                <w:t>1</w:t>
                              </w:r>
                              <w:r>
                                <w:fldChar w:fldCharType="end"/>
                              </w:r>
                            </w:p>
                          </w:sdtContent>
                        </w:sdt>
                        <w:p>
                          <w:pPr>
                            <w:ind w:firstLine="420"/>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c7DIJ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NzsMgkUAgAAGwQAAA4AAAAAAAAAAQAgAAAANQEAAGRycy9lMm9Eb2MueG1sUEsFBgAAAAAGAAYA&#10;WQEAALsFAAAAAA==&#10;">
              <v:fill on="f" focussize="0,0"/>
              <v:stroke on="f" weight="0.5pt"/>
              <v:imagedata o:title=""/>
              <o:lock v:ext="edit" aspectratio="f"/>
              <v:textbox inset="0mm,0mm,0mm,0mm" style="mso-fit-shape-to-text:t;">
                <w:txbxContent>
                  <w:sdt>
                    <w:sdtPr>
                      <w:id w:val="536552361"/>
                    </w:sdtPr>
                    <w:sdtContent>
                      <w:p>
                        <w:pPr>
                          <w:pStyle w:val="13"/>
                          <w:ind w:firstLine="360"/>
                          <w:jc w:val="center"/>
                        </w:pPr>
                        <w:r>
                          <w:fldChar w:fldCharType="begin"/>
                        </w:r>
                        <w:r>
                          <w:instrText xml:space="preserve">PAGE   \* MERGEFORMAT</w:instrText>
                        </w:r>
                        <w:r>
                          <w:fldChar w:fldCharType="separate"/>
                        </w:r>
                        <w:r>
                          <w:rPr>
                            <w:lang w:val="zh-CN"/>
                          </w:rPr>
                          <w:t>1</w:t>
                        </w:r>
                        <w:r>
                          <w:fldChar w:fldCharType="end"/>
                        </w:r>
                      </w:p>
                    </w:sdtContent>
                  </w:sdt>
                  <w:p>
                    <w:pPr>
                      <w:ind w:firstLine="420"/>
                    </w:pPr>
                  </w:p>
                </w:txbxContent>
              </v:textbox>
            </v:shape>
          </w:pict>
        </mc:Fallback>
      </mc:AlternateContent>
    </w:r>
  </w:p>
  <w:p>
    <w:pPr>
      <w:pStyle w:val="13"/>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suff w:val="nothing"/>
      <w:lvlText w:val="附　录　%1"/>
      <w:lvlJc w:val="left"/>
      <w:pPr>
        <w:ind w:left="4536" w:firstLine="0"/>
      </w:pPr>
      <w:rPr>
        <w:rFonts w:hint="eastAsia" w:ascii="黑体" w:hAnsi="Times New Roman" w:eastAsia="黑体"/>
        <w:b w:val="0"/>
        <w:i w:val="0"/>
        <w:spacing w:val="0"/>
        <w:w w:val="100"/>
        <w:sz w:val="21"/>
      </w:rPr>
    </w:lvl>
    <w:lvl w:ilvl="1" w:tentative="0">
      <w:start w:val="1"/>
      <w:numFmt w:val="decimal"/>
      <w:pStyle w:val="64"/>
      <w:suff w:val="nothing"/>
      <w:lvlText w:val="%1.%2　"/>
      <w:lvlJc w:val="left"/>
      <w:pPr>
        <w:ind w:left="1844" w:firstLine="0"/>
      </w:pPr>
      <w:rPr>
        <w:rFonts w:hint="eastAsia" w:ascii="黑体" w:hAnsi="Times New Roman" w:eastAsia="黑体"/>
        <w:b w:val="0"/>
        <w:i w:val="0"/>
        <w:snapToGrid/>
        <w:spacing w:val="0"/>
        <w:w w:val="100"/>
        <w:kern w:val="21"/>
        <w:sz w:val="21"/>
      </w:rPr>
    </w:lvl>
    <w:lvl w:ilvl="2" w:tentative="0">
      <w:start w:val="1"/>
      <w:numFmt w:val="decimal"/>
      <w:pStyle w:val="63"/>
      <w:suff w:val="nothing"/>
      <w:lvlText w:val="%1.%2.%3　"/>
      <w:lvlJc w:val="left"/>
      <w:pPr>
        <w:ind w:left="1135" w:firstLine="0"/>
      </w:pPr>
      <w:rPr>
        <w:rFonts w:hint="eastAsia" w:ascii="黑体" w:hAnsi="Times New Roman" w:eastAsia="黑体"/>
        <w:b w:val="0"/>
        <w:i w:val="0"/>
        <w:sz w:val="21"/>
      </w:rPr>
    </w:lvl>
    <w:lvl w:ilvl="3" w:tentative="0">
      <w:start w:val="1"/>
      <w:numFmt w:val="decimal"/>
      <w:suff w:val="nothing"/>
      <w:lvlText w:val="%1.%2.%3.%4　"/>
      <w:lvlJc w:val="left"/>
      <w:pPr>
        <w:ind w:left="426"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40"/>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6"/>
      <w:suff w:val="nothing"/>
      <w:lvlText w:val="%1%2.%3.%4　"/>
      <w:lvlJc w:val="left"/>
      <w:pPr>
        <w:ind w:left="0" w:firstLine="0"/>
      </w:pPr>
      <w:rPr>
        <w:rFonts w:hint="eastAsia" w:ascii="黑体" w:eastAsia="黑体"/>
        <w:b w:val="0"/>
        <w:i w:val="0"/>
        <w:sz w:val="21"/>
      </w:rPr>
    </w:lvl>
    <w:lvl w:ilvl="4" w:tentative="0">
      <w:start w:val="1"/>
      <w:numFmt w:val="decimal"/>
      <w:pStyle w:val="37"/>
      <w:suff w:val="nothing"/>
      <w:lvlText w:val="%1%2.%3.%4.%5　"/>
      <w:lvlJc w:val="left"/>
      <w:pPr>
        <w:ind w:left="0" w:firstLine="0"/>
      </w:pPr>
      <w:rPr>
        <w:rFonts w:hint="eastAsia" w:ascii="黑体" w:eastAsia="黑体"/>
        <w:b w:val="0"/>
        <w:i w:val="0"/>
        <w:sz w:val="21"/>
      </w:rPr>
    </w:lvl>
    <w:lvl w:ilvl="5" w:tentative="0">
      <w:start w:val="1"/>
      <w:numFmt w:val="decimal"/>
      <w:pStyle w:val="38"/>
      <w:suff w:val="nothing"/>
      <w:lvlText w:val="%1%2.%3.%4.%5.%6　"/>
      <w:lvlJc w:val="left"/>
      <w:pPr>
        <w:ind w:left="0" w:firstLine="0"/>
      </w:pPr>
      <w:rPr>
        <w:rFonts w:hint="eastAsia" w:ascii="黑体" w:eastAsia="黑体"/>
        <w:b w:val="0"/>
        <w:i w:val="0"/>
        <w:sz w:val="21"/>
      </w:rPr>
    </w:lvl>
    <w:lvl w:ilvl="6" w:tentative="0">
      <w:start w:val="1"/>
      <w:numFmt w:val="decimal"/>
      <w:pStyle w:val="3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45"/>
    <w:rsid w:val="000203E3"/>
    <w:rsid w:val="00037E1B"/>
    <w:rsid w:val="00043D35"/>
    <w:rsid w:val="000648E6"/>
    <w:rsid w:val="000A7496"/>
    <w:rsid w:val="00114B25"/>
    <w:rsid w:val="001152AC"/>
    <w:rsid w:val="00125B09"/>
    <w:rsid w:val="001439AE"/>
    <w:rsid w:val="00167B0A"/>
    <w:rsid w:val="001D5DB9"/>
    <w:rsid w:val="00224BFE"/>
    <w:rsid w:val="00260138"/>
    <w:rsid w:val="00280CC2"/>
    <w:rsid w:val="002810CB"/>
    <w:rsid w:val="00290EB2"/>
    <w:rsid w:val="002928F7"/>
    <w:rsid w:val="002A1E15"/>
    <w:rsid w:val="002A4FED"/>
    <w:rsid w:val="002A65E3"/>
    <w:rsid w:val="002E66BA"/>
    <w:rsid w:val="002F2D31"/>
    <w:rsid w:val="003038CF"/>
    <w:rsid w:val="00304303"/>
    <w:rsid w:val="00321D5E"/>
    <w:rsid w:val="0038380F"/>
    <w:rsid w:val="0038733A"/>
    <w:rsid w:val="00391803"/>
    <w:rsid w:val="00396944"/>
    <w:rsid w:val="003A5D53"/>
    <w:rsid w:val="003C4764"/>
    <w:rsid w:val="004603C7"/>
    <w:rsid w:val="00472838"/>
    <w:rsid w:val="00491213"/>
    <w:rsid w:val="005516C9"/>
    <w:rsid w:val="00552A94"/>
    <w:rsid w:val="0056764D"/>
    <w:rsid w:val="005739B1"/>
    <w:rsid w:val="0059183C"/>
    <w:rsid w:val="005B19DC"/>
    <w:rsid w:val="005B4FAC"/>
    <w:rsid w:val="005E5508"/>
    <w:rsid w:val="005E5B1B"/>
    <w:rsid w:val="005F484F"/>
    <w:rsid w:val="006247AA"/>
    <w:rsid w:val="00663E84"/>
    <w:rsid w:val="006856AF"/>
    <w:rsid w:val="0068575E"/>
    <w:rsid w:val="006B2F81"/>
    <w:rsid w:val="007043D5"/>
    <w:rsid w:val="00705B04"/>
    <w:rsid w:val="00754AB2"/>
    <w:rsid w:val="00763BE9"/>
    <w:rsid w:val="00776C0C"/>
    <w:rsid w:val="007A321C"/>
    <w:rsid w:val="007C129F"/>
    <w:rsid w:val="007C1F78"/>
    <w:rsid w:val="008045A0"/>
    <w:rsid w:val="00814265"/>
    <w:rsid w:val="00820218"/>
    <w:rsid w:val="00824956"/>
    <w:rsid w:val="00841A6D"/>
    <w:rsid w:val="008555C8"/>
    <w:rsid w:val="008850E6"/>
    <w:rsid w:val="00891631"/>
    <w:rsid w:val="00892845"/>
    <w:rsid w:val="008A7476"/>
    <w:rsid w:val="008C09FD"/>
    <w:rsid w:val="008C235E"/>
    <w:rsid w:val="008E0054"/>
    <w:rsid w:val="008F5D0B"/>
    <w:rsid w:val="00945B03"/>
    <w:rsid w:val="009535F8"/>
    <w:rsid w:val="0095555A"/>
    <w:rsid w:val="009656D2"/>
    <w:rsid w:val="0099311B"/>
    <w:rsid w:val="009D0B20"/>
    <w:rsid w:val="009D4CD2"/>
    <w:rsid w:val="009E256B"/>
    <w:rsid w:val="00A2748A"/>
    <w:rsid w:val="00A6363B"/>
    <w:rsid w:val="00AA083E"/>
    <w:rsid w:val="00AA1266"/>
    <w:rsid w:val="00B1292A"/>
    <w:rsid w:val="00B154D3"/>
    <w:rsid w:val="00B2273A"/>
    <w:rsid w:val="00B42670"/>
    <w:rsid w:val="00B87FC1"/>
    <w:rsid w:val="00B93CF6"/>
    <w:rsid w:val="00BB727F"/>
    <w:rsid w:val="00BE2C07"/>
    <w:rsid w:val="00C36A57"/>
    <w:rsid w:val="00C75369"/>
    <w:rsid w:val="00CA3631"/>
    <w:rsid w:val="00CE3C20"/>
    <w:rsid w:val="00D2752D"/>
    <w:rsid w:val="00D43C8F"/>
    <w:rsid w:val="00DB6583"/>
    <w:rsid w:val="00DD0CE2"/>
    <w:rsid w:val="00E246DD"/>
    <w:rsid w:val="00E3484E"/>
    <w:rsid w:val="00E54F84"/>
    <w:rsid w:val="00EB3970"/>
    <w:rsid w:val="00EE17AD"/>
    <w:rsid w:val="00EF600F"/>
    <w:rsid w:val="00F01873"/>
    <w:rsid w:val="00F3324A"/>
    <w:rsid w:val="00F414A0"/>
    <w:rsid w:val="00F6014B"/>
    <w:rsid w:val="00F6268D"/>
    <w:rsid w:val="00F626F9"/>
    <w:rsid w:val="00F670D2"/>
    <w:rsid w:val="00F709A3"/>
    <w:rsid w:val="00F963ED"/>
    <w:rsid w:val="3FDAC1B0"/>
    <w:rsid w:val="3FDDD9C2"/>
    <w:rsid w:val="53470E38"/>
    <w:rsid w:val="5D7F79E6"/>
    <w:rsid w:val="6BFB4A9F"/>
    <w:rsid w:val="6C9F89CA"/>
    <w:rsid w:val="6F641225"/>
    <w:rsid w:val="71EC0FD9"/>
    <w:rsid w:val="75BBFC8B"/>
    <w:rsid w:val="75FEAA09"/>
    <w:rsid w:val="77DCCECD"/>
    <w:rsid w:val="78FE79A8"/>
    <w:rsid w:val="7AAF7E38"/>
    <w:rsid w:val="7EB70BFC"/>
    <w:rsid w:val="7F6FFF4A"/>
    <w:rsid w:val="7FBFD052"/>
    <w:rsid w:val="90D13894"/>
    <w:rsid w:val="A79B8785"/>
    <w:rsid w:val="B17FC9F5"/>
    <w:rsid w:val="B7FBAD1F"/>
    <w:rsid w:val="BFFC3FA4"/>
    <w:rsid w:val="C7FE82BB"/>
    <w:rsid w:val="D7B39456"/>
    <w:rsid w:val="DE7CAA84"/>
    <w:rsid w:val="E7E5AD69"/>
    <w:rsid w:val="F8F4E7B0"/>
    <w:rsid w:val="FA3FC303"/>
    <w:rsid w:val="FF7F7FB7"/>
    <w:rsid w:val="FFBFC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3" w:lineRule="auto"/>
      <w:ind w:firstLine="0" w:firstLineChars="0"/>
      <w:outlineLvl w:val="1"/>
    </w:pPr>
    <w:rPr>
      <w:rFonts w:ascii="Arial" w:hAnsi="Arial" w:eastAsia="黑体" w:cstheme="minorBidi"/>
      <w:b/>
      <w:sz w:val="32"/>
      <w:szCs w:val="22"/>
    </w:rPr>
  </w:style>
  <w:style w:type="paragraph" w:styleId="4">
    <w:name w:val="heading 3"/>
    <w:basedOn w:val="1"/>
    <w:next w:val="1"/>
    <w:link w:val="23"/>
    <w:unhideWhenUsed/>
    <w:qFormat/>
    <w:uiPriority w:val="9"/>
    <w:pPr>
      <w:keepNext/>
      <w:keepLines/>
      <w:spacing w:before="260" w:after="260" w:line="413" w:lineRule="auto"/>
      <w:ind w:firstLine="0" w:firstLineChars="0"/>
      <w:outlineLvl w:val="2"/>
    </w:pPr>
    <w:rPr>
      <w:rFonts w:asciiTheme="minorHAnsi" w:hAnsiTheme="minorHAnsi" w:eastAsiaTheme="minorEastAsia" w:cstheme="minorBidi"/>
      <w:b/>
      <w:sz w:val="32"/>
      <w:szCs w:val="22"/>
    </w:rPr>
  </w:style>
  <w:style w:type="paragraph" w:styleId="5">
    <w:name w:val="heading 4"/>
    <w:basedOn w:val="1"/>
    <w:next w:val="1"/>
    <w:link w:val="24"/>
    <w:unhideWhenUsed/>
    <w:qFormat/>
    <w:uiPriority w:val="9"/>
    <w:pPr>
      <w:keepNext/>
      <w:keepLines/>
      <w:spacing w:before="280" w:after="290" w:line="372" w:lineRule="auto"/>
      <w:ind w:firstLine="0" w:firstLineChars="0"/>
      <w:outlineLvl w:val="3"/>
    </w:pPr>
    <w:rPr>
      <w:rFonts w:ascii="Arial" w:hAnsi="Arial" w:eastAsia="黑体" w:cstheme="minorBidi"/>
      <w:b/>
      <w:sz w:val="28"/>
      <w:szCs w:val="22"/>
    </w:rPr>
  </w:style>
  <w:style w:type="paragraph" w:styleId="6">
    <w:name w:val="heading 5"/>
    <w:basedOn w:val="1"/>
    <w:next w:val="1"/>
    <w:link w:val="25"/>
    <w:unhideWhenUsed/>
    <w:qFormat/>
    <w:uiPriority w:val="9"/>
    <w:pPr>
      <w:keepNext/>
      <w:keepLines/>
      <w:spacing w:before="280" w:after="290" w:line="372" w:lineRule="auto"/>
      <w:ind w:firstLine="0" w:firstLineChars="0"/>
      <w:outlineLvl w:val="4"/>
    </w:pPr>
    <w:rPr>
      <w:rFonts w:asciiTheme="minorHAnsi" w:hAnsiTheme="minorHAnsi" w:eastAsiaTheme="minorEastAsia" w:cstheme="minorBidi"/>
      <w:b/>
      <w:sz w:val="28"/>
      <w:szCs w:val="2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240" w:lineRule="auto"/>
      <w:ind w:left="480" w:firstLine="0" w:firstLineChars="0"/>
      <w:jc w:val="left"/>
    </w:pPr>
    <w:rPr>
      <w:rFonts w:eastAsia="PMingLiU"/>
      <w:sz w:val="24"/>
      <w:szCs w:val="20"/>
      <w:lang w:eastAsia="zh-TW"/>
    </w:rPr>
  </w:style>
  <w:style w:type="paragraph" w:styleId="8">
    <w:name w:val="annotation text"/>
    <w:basedOn w:val="1"/>
    <w:link w:val="31"/>
    <w:semiHidden/>
    <w:unhideWhenUsed/>
    <w:qFormat/>
    <w:uiPriority w:val="99"/>
    <w:pPr>
      <w:jc w:val="left"/>
    </w:pPr>
  </w:style>
  <w:style w:type="paragraph" w:styleId="9">
    <w:name w:val="Date"/>
    <w:basedOn w:val="1"/>
    <w:next w:val="1"/>
    <w:link w:val="44"/>
    <w:semiHidden/>
    <w:unhideWhenUsed/>
    <w:qFormat/>
    <w:uiPriority w:val="99"/>
    <w:pPr>
      <w:spacing w:line="240" w:lineRule="auto"/>
      <w:ind w:left="100" w:leftChars="2500" w:firstLine="0" w:firstLineChars="0"/>
    </w:pPr>
    <w:rPr>
      <w:rFonts w:ascii="Calibri" w:hAnsi="Calibri"/>
      <w:szCs w:val="22"/>
    </w:rPr>
  </w:style>
  <w:style w:type="paragraph" w:styleId="10">
    <w:name w:val="Body Text Indent 2"/>
    <w:basedOn w:val="1"/>
    <w:link w:val="45"/>
    <w:qFormat/>
    <w:uiPriority w:val="0"/>
    <w:pPr>
      <w:widowControl/>
      <w:tabs>
        <w:tab w:val="left" w:pos="-720"/>
        <w:tab w:val="left" w:pos="1018"/>
        <w:tab w:val="left" w:pos="1080"/>
        <w:tab w:val="left" w:pos="1336"/>
        <w:tab w:val="left" w:pos="1654"/>
        <w:tab w:val="left" w:pos="1972"/>
        <w:tab w:val="left" w:pos="2290"/>
        <w:tab w:val="left" w:pos="2608"/>
        <w:tab w:val="left" w:pos="2926"/>
        <w:tab w:val="left" w:pos="3244"/>
        <w:tab w:val="left" w:pos="3562"/>
      </w:tabs>
      <w:suppressAutoHyphens/>
      <w:spacing w:line="240" w:lineRule="atLeast"/>
      <w:ind w:left="1080" w:firstLine="0" w:firstLineChars="0"/>
    </w:pPr>
    <w:rPr>
      <w:sz w:val="24"/>
    </w:rPr>
  </w:style>
  <w:style w:type="paragraph" w:styleId="11">
    <w:name w:val="endnote text"/>
    <w:basedOn w:val="1"/>
    <w:link w:val="47"/>
    <w:qFormat/>
    <w:uiPriority w:val="0"/>
    <w:pPr>
      <w:widowControl/>
      <w:tabs>
        <w:tab w:val="left" w:pos="187"/>
      </w:tabs>
      <w:overflowPunct w:val="0"/>
      <w:autoSpaceDE w:val="0"/>
      <w:autoSpaceDN w:val="0"/>
      <w:adjustRightInd w:val="0"/>
      <w:spacing w:after="120" w:line="220" w:lineRule="exact"/>
      <w:ind w:left="187" w:hanging="187" w:firstLineChars="0"/>
      <w:textAlignment w:val="baseline"/>
    </w:pPr>
    <w:rPr>
      <w:kern w:val="0"/>
      <w:sz w:val="18"/>
      <w:szCs w:val="20"/>
    </w:rPr>
  </w:style>
  <w:style w:type="paragraph" w:styleId="12">
    <w:name w:val="Balloon Text"/>
    <w:basedOn w:val="1"/>
    <w:link w:val="33"/>
    <w:semiHidden/>
    <w:unhideWhenUsed/>
    <w:qFormat/>
    <w:uiPriority w:val="99"/>
    <w:pPr>
      <w:spacing w:line="240" w:lineRule="auto"/>
    </w:pPr>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annotation subject"/>
    <w:basedOn w:val="8"/>
    <w:next w:val="8"/>
    <w:link w:val="32"/>
    <w:semiHidden/>
    <w:unhideWhenUsed/>
    <w:qFormat/>
    <w:uiPriority w:val="99"/>
    <w:rPr>
      <w:b/>
      <w:bCs/>
    </w:rPr>
  </w:style>
  <w:style w:type="character" w:styleId="19">
    <w:name w:val="Hyperlink"/>
    <w:basedOn w:val="18"/>
    <w:unhideWhenUsed/>
    <w:qFormat/>
    <w:uiPriority w:val="99"/>
    <w:rPr>
      <w:color w:val="0563C1"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标题 1 字符"/>
    <w:basedOn w:val="18"/>
    <w:link w:val="2"/>
    <w:qFormat/>
    <w:uiPriority w:val="9"/>
    <w:rPr>
      <w:rFonts w:ascii="Times New Roman" w:hAnsi="Times New Roman" w:eastAsia="宋体" w:cs="Times New Roman"/>
      <w:b/>
      <w:bCs/>
      <w:kern w:val="44"/>
      <w:sz w:val="44"/>
      <w:szCs w:val="44"/>
    </w:rPr>
  </w:style>
  <w:style w:type="character" w:customStyle="1" w:styleId="22">
    <w:name w:val="标题 2 字符"/>
    <w:basedOn w:val="18"/>
    <w:link w:val="3"/>
    <w:qFormat/>
    <w:uiPriority w:val="9"/>
    <w:rPr>
      <w:rFonts w:ascii="Arial" w:hAnsi="Arial" w:eastAsia="黑体"/>
      <w:b/>
      <w:sz w:val="32"/>
    </w:rPr>
  </w:style>
  <w:style w:type="character" w:customStyle="1" w:styleId="23">
    <w:name w:val="标题 3 字符"/>
    <w:basedOn w:val="18"/>
    <w:link w:val="4"/>
    <w:qFormat/>
    <w:uiPriority w:val="9"/>
    <w:rPr>
      <w:b/>
      <w:sz w:val="32"/>
    </w:rPr>
  </w:style>
  <w:style w:type="character" w:customStyle="1" w:styleId="24">
    <w:name w:val="标题 4 字符"/>
    <w:basedOn w:val="18"/>
    <w:link w:val="5"/>
    <w:qFormat/>
    <w:uiPriority w:val="9"/>
    <w:rPr>
      <w:rFonts w:ascii="Arial" w:hAnsi="Arial" w:eastAsia="黑体"/>
      <w:b/>
      <w:sz w:val="28"/>
    </w:rPr>
  </w:style>
  <w:style w:type="character" w:customStyle="1" w:styleId="25">
    <w:name w:val="标题 5 字符"/>
    <w:basedOn w:val="18"/>
    <w:link w:val="6"/>
    <w:qFormat/>
    <w:uiPriority w:val="9"/>
    <w:rPr>
      <w:b/>
      <w:sz w:val="28"/>
    </w:rPr>
  </w:style>
  <w:style w:type="character" w:customStyle="1" w:styleId="26">
    <w:name w:val="页眉 字符"/>
    <w:basedOn w:val="18"/>
    <w:link w:val="14"/>
    <w:qFormat/>
    <w:uiPriority w:val="99"/>
    <w:rPr>
      <w:sz w:val="18"/>
      <w:szCs w:val="18"/>
    </w:rPr>
  </w:style>
  <w:style w:type="character" w:customStyle="1" w:styleId="27">
    <w:name w:val="页脚 字符"/>
    <w:basedOn w:val="18"/>
    <w:link w:val="13"/>
    <w:qFormat/>
    <w:uiPriority w:val="99"/>
    <w:rPr>
      <w:sz w:val="18"/>
      <w:szCs w:val="18"/>
    </w:rPr>
  </w:style>
  <w:style w:type="paragraph" w:customStyle="1" w:styleId="2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TOC 标题1"/>
    <w:basedOn w:val="2"/>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30">
    <w:name w:val="List Paragraph"/>
    <w:basedOn w:val="1"/>
    <w:qFormat/>
    <w:uiPriority w:val="34"/>
    <w:pPr>
      <w:ind w:firstLine="420"/>
    </w:pPr>
  </w:style>
  <w:style w:type="character" w:customStyle="1" w:styleId="31">
    <w:name w:val="批注文字 字符"/>
    <w:basedOn w:val="18"/>
    <w:link w:val="8"/>
    <w:semiHidden/>
    <w:qFormat/>
    <w:uiPriority w:val="99"/>
    <w:rPr>
      <w:rFonts w:ascii="Times New Roman" w:hAnsi="Times New Roman" w:eastAsia="宋体" w:cs="Times New Roman"/>
      <w:szCs w:val="24"/>
    </w:rPr>
  </w:style>
  <w:style w:type="character" w:customStyle="1" w:styleId="32">
    <w:name w:val="批注主题 字符"/>
    <w:basedOn w:val="31"/>
    <w:link w:val="16"/>
    <w:semiHidden/>
    <w:qFormat/>
    <w:uiPriority w:val="99"/>
    <w:rPr>
      <w:rFonts w:ascii="Times New Roman" w:hAnsi="Times New Roman" w:eastAsia="宋体" w:cs="Times New Roman"/>
      <w:b/>
      <w:bCs/>
      <w:szCs w:val="24"/>
    </w:rPr>
  </w:style>
  <w:style w:type="character" w:customStyle="1" w:styleId="33">
    <w:name w:val="批注框文本 字符"/>
    <w:basedOn w:val="18"/>
    <w:link w:val="12"/>
    <w:semiHidden/>
    <w:qFormat/>
    <w:uiPriority w:val="99"/>
    <w:rPr>
      <w:rFonts w:ascii="Times New Roman" w:hAnsi="Times New Roman" w:eastAsia="宋体" w:cs="Times New Roman"/>
      <w:sz w:val="18"/>
      <w:szCs w:val="18"/>
    </w:rPr>
  </w:style>
  <w:style w:type="paragraph" w:customStyle="1" w:styleId="34">
    <w:name w:val="标准文件_段"/>
    <w:link w:val="3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5">
    <w:name w:val="标准文件_段 Char"/>
    <w:link w:val="34"/>
    <w:qFormat/>
    <w:uiPriority w:val="0"/>
    <w:rPr>
      <w:rFonts w:ascii="宋体" w:hAnsi="Times New Roman" w:eastAsia="宋体" w:cs="Times New Roman"/>
      <w:kern w:val="0"/>
      <w:szCs w:val="20"/>
    </w:rPr>
  </w:style>
  <w:style w:type="paragraph" w:customStyle="1" w:styleId="36">
    <w:name w:val="标准文件_二级条标题"/>
    <w:next w:val="34"/>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7">
    <w:name w:val="标准文件_三级条标题"/>
    <w:basedOn w:val="36"/>
    <w:next w:val="34"/>
    <w:qFormat/>
    <w:uiPriority w:val="0"/>
    <w:pPr>
      <w:widowControl/>
      <w:numPr>
        <w:ilvl w:val="4"/>
      </w:numPr>
      <w:outlineLvl w:val="3"/>
    </w:pPr>
  </w:style>
  <w:style w:type="paragraph" w:customStyle="1" w:styleId="38">
    <w:name w:val="标准文件_四级条标题"/>
    <w:next w:val="34"/>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9">
    <w:name w:val="标准文件_五级条标题"/>
    <w:next w:val="34"/>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0">
    <w:name w:val="标准文件_章标题"/>
    <w:next w:val="34"/>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1">
    <w:name w:val="标准文件_一级条标题"/>
    <w:basedOn w:val="40"/>
    <w:next w:val="34"/>
    <w:qFormat/>
    <w:uiPriority w:val="0"/>
    <w:pPr>
      <w:numPr>
        <w:ilvl w:val="0"/>
        <w:numId w:val="0"/>
      </w:numPr>
      <w:spacing w:before="50" w:beforeLines="50" w:after="50" w:afterLines="50"/>
      <w:outlineLvl w:val="1"/>
    </w:pPr>
  </w:style>
  <w:style w:type="paragraph" w:customStyle="1" w:styleId="42">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3">
    <w:name w:val="标准文件_一级无标题"/>
    <w:basedOn w:val="41"/>
    <w:qFormat/>
    <w:uiPriority w:val="0"/>
    <w:pPr>
      <w:spacing w:before="0" w:beforeLines="0" w:after="0" w:afterLines="0"/>
      <w:outlineLvl w:val="9"/>
    </w:pPr>
    <w:rPr>
      <w:rFonts w:ascii="宋体" w:eastAsia="宋体"/>
    </w:rPr>
  </w:style>
  <w:style w:type="character" w:customStyle="1" w:styleId="44">
    <w:name w:val="日期 字符"/>
    <w:basedOn w:val="18"/>
    <w:link w:val="9"/>
    <w:semiHidden/>
    <w:qFormat/>
    <w:uiPriority w:val="99"/>
    <w:rPr>
      <w:rFonts w:ascii="Calibri" w:hAnsi="Calibri" w:eastAsia="宋体" w:cs="Times New Roman"/>
    </w:rPr>
  </w:style>
  <w:style w:type="character" w:customStyle="1" w:styleId="45">
    <w:name w:val="正文文本缩进 2 字符1"/>
    <w:link w:val="10"/>
    <w:qFormat/>
    <w:uiPriority w:val="0"/>
    <w:rPr>
      <w:rFonts w:ascii="Times New Roman" w:hAnsi="Times New Roman" w:eastAsia="宋体" w:cs="Times New Roman"/>
      <w:sz w:val="24"/>
      <w:szCs w:val="24"/>
    </w:rPr>
  </w:style>
  <w:style w:type="character" w:customStyle="1" w:styleId="46">
    <w:name w:val="正文文本缩进 2 字符"/>
    <w:basedOn w:val="18"/>
    <w:semiHidden/>
    <w:qFormat/>
    <w:uiPriority w:val="99"/>
    <w:rPr>
      <w:rFonts w:ascii="Times New Roman" w:hAnsi="Times New Roman" w:eastAsia="宋体" w:cs="Times New Roman"/>
      <w:szCs w:val="24"/>
    </w:rPr>
  </w:style>
  <w:style w:type="character" w:customStyle="1" w:styleId="47">
    <w:name w:val="尾注文本 字符1"/>
    <w:link w:val="11"/>
    <w:qFormat/>
    <w:uiPriority w:val="0"/>
    <w:rPr>
      <w:rFonts w:ascii="Times New Roman" w:hAnsi="Times New Roman" w:eastAsia="宋体" w:cs="Times New Roman"/>
      <w:kern w:val="0"/>
      <w:sz w:val="18"/>
      <w:szCs w:val="20"/>
    </w:rPr>
  </w:style>
  <w:style w:type="character" w:customStyle="1" w:styleId="48">
    <w:name w:val="尾注文本 字符"/>
    <w:basedOn w:val="18"/>
    <w:semiHidden/>
    <w:qFormat/>
    <w:uiPriority w:val="99"/>
    <w:rPr>
      <w:rFonts w:ascii="Times New Roman" w:hAnsi="Times New Roman" w:eastAsia="宋体" w:cs="Times New Roman"/>
      <w:szCs w:val="24"/>
    </w:rPr>
  </w:style>
  <w:style w:type="character" w:customStyle="1" w:styleId="49">
    <w:name w:val="页眉 字符1"/>
    <w:qFormat/>
    <w:uiPriority w:val="99"/>
    <w:rPr>
      <w:rFonts w:ascii="Calibri" w:hAnsi="Calibri" w:eastAsia="宋体" w:cs="Times New Roman"/>
      <w:sz w:val="18"/>
      <w:szCs w:val="18"/>
    </w:rPr>
  </w:style>
  <w:style w:type="character" w:customStyle="1" w:styleId="50">
    <w:name w:val="页脚 字符1"/>
    <w:qFormat/>
    <w:uiPriority w:val="99"/>
    <w:rPr>
      <w:rFonts w:ascii="Calibri" w:hAnsi="Calibri" w:eastAsia="宋体" w:cs="Times New Roman"/>
      <w:sz w:val="18"/>
      <w:szCs w:val="18"/>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
    <w:name w:val="_Style 16"/>
    <w:basedOn w:val="1"/>
    <w:next w:val="30"/>
    <w:link w:val="53"/>
    <w:qFormat/>
    <w:uiPriority w:val="34"/>
    <w:pPr>
      <w:spacing w:line="240" w:lineRule="auto"/>
      <w:ind w:firstLine="420"/>
    </w:pPr>
    <w:rPr>
      <w:rFonts w:ascii="Calibri" w:hAnsi="Calibri"/>
      <w:szCs w:val="22"/>
      <w:lang w:val="zh-CN"/>
    </w:rPr>
  </w:style>
  <w:style w:type="character" w:customStyle="1" w:styleId="53">
    <w:name w:val="列出段落 Char"/>
    <w:link w:val="52"/>
    <w:qFormat/>
    <w:locked/>
    <w:uiPriority w:val="34"/>
    <w:rPr>
      <w:rFonts w:ascii="Calibri" w:hAnsi="Calibri" w:eastAsia="宋体" w:cs="Times New Roman"/>
      <w:lang w:val="zh-CN"/>
    </w:rPr>
  </w:style>
  <w:style w:type="character" w:customStyle="1" w:styleId="54">
    <w:name w:val="书籍标题1"/>
    <w:qFormat/>
    <w:uiPriority w:val="33"/>
    <w:rPr>
      <w:b/>
      <w:bCs/>
      <w:smallCaps/>
      <w:spacing w:val="5"/>
    </w:rPr>
  </w:style>
  <w:style w:type="paragraph" w:customStyle="1" w:styleId="55">
    <w:name w:val="样式1"/>
    <w:basedOn w:val="1"/>
    <w:qFormat/>
    <w:uiPriority w:val="0"/>
    <w:pPr>
      <w:spacing w:line="240" w:lineRule="auto"/>
      <w:ind w:firstLine="0" w:firstLineChars="0"/>
    </w:pPr>
    <w:rPr>
      <w:szCs w:val="20"/>
    </w:rPr>
  </w:style>
  <w:style w:type="paragraph" w:customStyle="1" w:styleId="56">
    <w:name w:val="正文1"/>
    <w:basedOn w:val="1"/>
    <w:link w:val="57"/>
    <w:qFormat/>
    <w:uiPriority w:val="0"/>
    <w:pPr>
      <w:adjustRightInd w:val="0"/>
      <w:spacing w:line="312" w:lineRule="atLeast"/>
      <w:ind w:firstLine="0" w:firstLineChars="0"/>
      <w:textAlignment w:val="baseline"/>
    </w:pPr>
    <w:rPr>
      <w:rFonts w:ascii="楷体_GB2312" w:eastAsia="楷体_GB2312"/>
      <w:kern w:val="0"/>
      <w:sz w:val="24"/>
      <w:szCs w:val="20"/>
      <w:lang w:val="zh-CN"/>
    </w:rPr>
  </w:style>
  <w:style w:type="character" w:customStyle="1" w:styleId="57">
    <w:name w:val="正文1 Char Char"/>
    <w:link w:val="56"/>
    <w:qFormat/>
    <w:uiPriority w:val="0"/>
    <w:rPr>
      <w:rFonts w:ascii="楷体_GB2312" w:hAnsi="Times New Roman" w:eastAsia="楷体_GB2312" w:cs="Times New Roman"/>
      <w:kern w:val="0"/>
      <w:sz w:val="24"/>
      <w:szCs w:val="20"/>
      <w:lang w:val="zh-CN"/>
    </w:rPr>
  </w:style>
  <w:style w:type="paragraph" w:customStyle="1" w:styleId="58">
    <w:name w:val="xl31"/>
    <w:basedOn w:val="1"/>
    <w:qFormat/>
    <w:uiPriority w:val="0"/>
    <w:pPr>
      <w:widowControl/>
      <w:spacing w:before="100" w:beforeAutospacing="1" w:after="100" w:afterAutospacing="1" w:line="240" w:lineRule="auto"/>
      <w:ind w:firstLine="0" w:firstLineChars="0"/>
      <w:jc w:val="right"/>
      <w:textAlignment w:val="top"/>
    </w:pPr>
    <w:rPr>
      <w:rFonts w:ascii="宋体" w:hAnsi="宋体"/>
      <w:kern w:val="0"/>
      <w:sz w:val="24"/>
    </w:rPr>
  </w:style>
  <w:style w:type="paragraph" w:customStyle="1" w:styleId="59">
    <w:name w:val="TOC 标题11"/>
    <w:basedOn w:val="2"/>
    <w:next w:val="1"/>
    <w:unhideWhenUsed/>
    <w:qFormat/>
    <w:uiPriority w:val="39"/>
    <w:pPr>
      <w:widowControl/>
      <w:spacing w:before="240" w:after="0" w:line="259" w:lineRule="auto"/>
      <w:ind w:firstLine="0" w:firstLineChars="0"/>
      <w:jc w:val="left"/>
      <w:outlineLvl w:val="9"/>
    </w:pPr>
    <w:rPr>
      <w:rFonts w:ascii="Cambria" w:hAnsi="Cambria"/>
      <w:b w:val="0"/>
      <w:bCs w:val="0"/>
      <w:color w:val="365F91"/>
      <w:kern w:val="0"/>
      <w:sz w:val="32"/>
      <w:szCs w:val="32"/>
    </w:rPr>
  </w:style>
  <w:style w:type="character" w:customStyle="1" w:styleId="60">
    <w:name w:val="列出段落1 Char"/>
    <w:link w:val="61"/>
    <w:qFormat/>
    <w:uiPriority w:val="0"/>
    <w:rPr>
      <w:szCs w:val="24"/>
    </w:rPr>
  </w:style>
  <w:style w:type="paragraph" w:customStyle="1" w:styleId="61">
    <w:name w:val="列出段落1"/>
    <w:basedOn w:val="1"/>
    <w:link w:val="60"/>
    <w:qFormat/>
    <w:uiPriority w:val="0"/>
    <w:pPr>
      <w:spacing w:line="240" w:lineRule="auto"/>
      <w:ind w:left="720" w:firstLine="0" w:firstLineChars="0"/>
      <w:contextualSpacing/>
    </w:pPr>
    <w:rPr>
      <w:rFonts w:asciiTheme="minorHAnsi" w:hAnsiTheme="minorHAnsi" w:eastAsiaTheme="minorEastAsia" w:cstheme="minorBidi"/>
    </w:rPr>
  </w:style>
  <w:style w:type="paragraph" w:customStyle="1" w:styleId="62">
    <w:name w:val="样式正文00"/>
    <w:basedOn w:val="1"/>
    <w:qFormat/>
    <w:uiPriority w:val="0"/>
    <w:pPr>
      <w:ind w:right="105" w:rightChars="50" w:firstLine="480"/>
    </w:pPr>
    <w:rPr>
      <w:rFonts w:ascii="Calibri" w:hAnsi="宋体" w:cs="宋体"/>
      <w:sz w:val="24"/>
      <w:szCs w:val="22"/>
    </w:rPr>
  </w:style>
  <w:style w:type="paragraph" w:customStyle="1" w:styleId="63">
    <w:name w:val="附录一级条标题"/>
    <w:basedOn w:val="64"/>
    <w:next w:val="65"/>
    <w:qFormat/>
    <w:uiPriority w:val="0"/>
    <w:pPr>
      <w:numPr>
        <w:ilvl w:val="2"/>
      </w:numPr>
      <w:autoSpaceDN w:val="0"/>
      <w:spacing w:beforeLines="50" w:afterLines="50"/>
      <w:ind w:left="0"/>
      <w:outlineLvl w:val="2"/>
    </w:pPr>
  </w:style>
  <w:style w:type="paragraph" w:customStyle="1" w:styleId="64">
    <w:name w:val="附录章标题"/>
    <w:next w:val="65"/>
    <w:qFormat/>
    <w:uiPriority w:val="0"/>
    <w:pPr>
      <w:numPr>
        <w:ilvl w:val="1"/>
        <w:numId w:val="2"/>
      </w:numPr>
      <w:wordWrap w:val="0"/>
      <w:overflowPunct w:val="0"/>
      <w:autoSpaceDE w:val="0"/>
      <w:spacing w:beforeLines="100" w:afterLines="100"/>
      <w:ind w:left="0"/>
      <w:jc w:val="both"/>
      <w:textAlignment w:val="baseline"/>
      <w:outlineLvl w:val="1"/>
    </w:pPr>
    <w:rPr>
      <w:rFonts w:ascii="黑体" w:hAnsi="Times New Roman" w:eastAsia="黑体" w:cs="Times New Roman"/>
      <w:kern w:val="21"/>
      <w:sz w:val="21"/>
      <w:lang w:val="en-US" w:eastAsia="zh-CN" w:bidi="ar-SA"/>
    </w:rPr>
  </w:style>
  <w:style w:type="paragraph" w:customStyle="1" w:styleId="6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1862</Words>
  <Characters>10615</Characters>
  <Lines>88</Lines>
  <Paragraphs>24</Paragraphs>
  <TotalTime>0</TotalTime>
  <ScaleCrop>false</ScaleCrop>
  <LinksUpToDate>false</LinksUpToDate>
  <CharactersWithSpaces>12453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2021-06-24T12:46:00Z</dcterms:created>
  <dc:creator>李云伟</dc:creator>
  <cp:lastModifiedBy>kylin</cp:lastModifiedBy>
  <dcterms:modified xsi:type="dcterms:W3CDTF">2021-09-17T08:14:56Z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C690F1807A114457951A16F6A5D720FC</vt:lpwstr>
  </property>
</Properties>
</file>