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0" w:name="_Toc30310"/>
      <w:bookmarkStart w:id="1" w:name="_Toc28417"/>
      <w:bookmarkStart w:id="2" w:name="_Toc36212235"/>
      <w:bookmarkStart w:id="3" w:name="_Toc64898472"/>
      <w:bookmarkStart w:id="4" w:name="_Toc28374"/>
      <w:r>
        <w:rPr>
          <w:rFonts w:eastAsia="黑体"/>
          <w:color w:val="000000"/>
          <w:kern w:val="0"/>
          <w:sz w:val="32"/>
          <w:szCs w:val="32"/>
        </w:rPr>
        <w:t>GB 24550《汽车对行人的碰撞保护》</w:t>
      </w:r>
      <w:bookmarkEnd w:id="0"/>
      <w:bookmarkEnd w:id="1"/>
      <w:bookmarkEnd w:id="2"/>
      <w:bookmarkEnd w:id="3"/>
      <w:bookmarkEnd w:id="4"/>
      <w:bookmarkStart w:id="5" w:name="_Toc21854"/>
      <w:bookmarkStart w:id="6" w:name="_Toc64898473"/>
      <w:bookmarkStart w:id="7" w:name="_Toc4815"/>
      <w:bookmarkStart w:id="8" w:name="_Toc14803"/>
      <w:bookmarkStart w:id="9" w:name="_Toc36212236"/>
      <w:r>
        <w:rPr>
          <w:rFonts w:eastAsia="黑体"/>
          <w:color w:val="000000"/>
          <w:kern w:val="0"/>
          <w:sz w:val="32"/>
          <w:szCs w:val="32"/>
        </w:rPr>
        <w:t>（征求意见稿）</w:t>
      </w:r>
      <w:bookmarkEnd w:id="5"/>
      <w:bookmarkEnd w:id="6"/>
      <w:bookmarkEnd w:id="7"/>
      <w:bookmarkEnd w:id="8"/>
      <w:bookmarkEnd w:id="9"/>
    </w:p>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10" w:name="_Toc64898474"/>
      <w:bookmarkStart w:id="11" w:name="_Toc8137"/>
      <w:bookmarkStart w:id="12" w:name="_Toc31546"/>
      <w:bookmarkStart w:id="13" w:name="_Toc30226"/>
      <w:bookmarkStart w:id="14" w:name="_Toc36212237"/>
      <w:r>
        <w:rPr>
          <w:rFonts w:eastAsia="黑体"/>
          <w:color w:val="000000"/>
          <w:kern w:val="0"/>
          <w:sz w:val="32"/>
          <w:szCs w:val="32"/>
        </w:rPr>
        <w:t>编制说明</w:t>
      </w:r>
      <w:bookmarkEnd w:id="10"/>
      <w:bookmarkEnd w:id="11"/>
      <w:bookmarkEnd w:id="12"/>
      <w:bookmarkEnd w:id="13"/>
      <w:bookmarkEnd w:id="14"/>
    </w:p>
    <w:p>
      <w:pPr>
        <w:autoSpaceDE w:val="0"/>
        <w:autoSpaceDN w:val="0"/>
        <w:adjustRightInd w:val="0"/>
        <w:spacing w:line="400" w:lineRule="exact"/>
        <w:ind w:firstLine="0" w:firstLineChars="0"/>
        <w:jc w:val="center"/>
        <w:outlineLvl w:val="0"/>
        <w:rPr>
          <w:rFonts w:eastAsia="黑体"/>
          <w:color w:val="000000"/>
          <w:kern w:val="0"/>
          <w:sz w:val="32"/>
          <w:szCs w:val="32"/>
        </w:rPr>
      </w:pPr>
    </w:p>
    <w:p>
      <w:pPr>
        <w:autoSpaceDE w:val="0"/>
        <w:autoSpaceDN w:val="0"/>
        <w:adjustRightInd w:val="0"/>
        <w:spacing w:line="400" w:lineRule="exact"/>
        <w:ind w:firstLine="480"/>
        <w:jc w:val="left"/>
        <w:outlineLvl w:val="0"/>
        <w:rPr>
          <w:rFonts w:eastAsia="黑体"/>
          <w:bCs/>
          <w:color w:val="000000"/>
          <w:kern w:val="0"/>
          <w:sz w:val="24"/>
        </w:rPr>
      </w:pPr>
      <w:bookmarkStart w:id="15" w:name="_Toc7124"/>
      <w:bookmarkStart w:id="16" w:name="_Toc733"/>
      <w:bookmarkStart w:id="17" w:name="_Toc36212238"/>
      <w:bookmarkStart w:id="18" w:name="_Toc64898475"/>
      <w:bookmarkStart w:id="19" w:name="_Hlk64896381"/>
      <w:r>
        <w:rPr>
          <w:rFonts w:eastAsia="黑体"/>
          <w:bCs/>
          <w:color w:val="000000"/>
          <w:kern w:val="0"/>
          <w:sz w:val="24"/>
        </w:rPr>
        <w:t>一、工作简况</w:t>
      </w:r>
      <w:bookmarkEnd w:id="15"/>
      <w:bookmarkEnd w:id="16"/>
      <w:bookmarkEnd w:id="17"/>
      <w:bookmarkEnd w:id="18"/>
    </w:p>
    <w:p>
      <w:pPr>
        <w:autoSpaceDE w:val="0"/>
        <w:autoSpaceDN w:val="0"/>
        <w:adjustRightInd w:val="0"/>
        <w:spacing w:line="400" w:lineRule="exact"/>
        <w:ind w:firstLine="422"/>
        <w:jc w:val="left"/>
        <w:outlineLvl w:val="0"/>
        <w:rPr>
          <w:b/>
          <w:szCs w:val="21"/>
        </w:rPr>
      </w:pPr>
      <w:r>
        <w:rPr>
          <w:b/>
          <w:szCs w:val="21"/>
        </w:rPr>
        <w:t>（一）任务来源</w:t>
      </w:r>
    </w:p>
    <w:p>
      <w:pPr>
        <w:adjustRightInd w:val="0"/>
        <w:snapToGrid w:val="0"/>
        <w:spacing w:line="400" w:lineRule="exact"/>
        <w:ind w:firstLine="420"/>
        <w:rPr>
          <w:szCs w:val="21"/>
        </w:rPr>
      </w:pPr>
      <w:r>
        <w:rPr>
          <w:szCs w:val="21"/>
        </w:rPr>
        <w:t>根据国家标准化管理委员会2020年8月11日国标委综合〔2020〕34号文下达的17项强制性国家标准制修订计划，</w:t>
      </w:r>
      <w:bookmarkStart w:id="20" w:name="_Hlk24362472"/>
      <w:r>
        <w:rPr>
          <w:szCs w:val="21"/>
        </w:rPr>
        <w:t>中国汽车技术研究中心有限公司</w:t>
      </w:r>
      <w:bookmarkEnd w:id="20"/>
      <w:r>
        <w:rPr>
          <w:szCs w:val="21"/>
        </w:rPr>
        <w:t>（以下简称“中汽中心”）等单位承担修订《汽车对行人的碰撞保护》强制性国家标准项目，项目编号20201961-Q-339。</w:t>
      </w:r>
    </w:p>
    <w:p>
      <w:pPr>
        <w:autoSpaceDE w:val="0"/>
        <w:autoSpaceDN w:val="0"/>
        <w:adjustRightInd w:val="0"/>
        <w:spacing w:line="400" w:lineRule="exact"/>
        <w:ind w:firstLine="422"/>
        <w:jc w:val="left"/>
        <w:outlineLvl w:val="0"/>
        <w:rPr>
          <w:b/>
          <w:szCs w:val="21"/>
        </w:rPr>
      </w:pPr>
      <w:r>
        <w:rPr>
          <w:b/>
          <w:szCs w:val="21"/>
        </w:rPr>
        <w:t>（二）背景意义及必要性</w:t>
      </w:r>
    </w:p>
    <w:p>
      <w:pPr>
        <w:snapToGrid w:val="0"/>
        <w:spacing w:line="400" w:lineRule="exact"/>
        <w:ind w:firstLine="420"/>
        <w:rPr>
          <w:szCs w:val="21"/>
        </w:rPr>
      </w:pPr>
      <w:r>
        <w:rPr>
          <w:szCs w:val="21"/>
        </w:rPr>
        <w:t>随着我国汽车产业的飞速发展和汽车保有量快速增长，道路交通安全问题已成为危及我国人民生命财产安全的难题之一。尤其是我国道路多属于典型的混合型交通，机动车、行人、非机动车处于同一道路。我国道路交通事故中，行人与机动车碰撞事故发生的机率高，行人伤亡人数占比高。根据CIDAS统计我国交通事故数据，我国道路交通事故中弱势道路群体与汽车碰撞事故约占80%，其中行人与汽车碰撞事故约占20%。道路交通参与者中行人属于弱势群体，没有任何保护措施，在道路交通事故死亡人数中行人死亡人数约占30%。2009年我国发布了行人保护推荐性国家标准GB/T 24550-2009 《汽车对行人的碰撞保护》，一定程度上提高了车辆行人保护的整体水平，为进一步提升车辆对行人碰撞的保护性能，降低人与车碰撞事故中行人受重伤或死亡的几率，亟须一部能够有效评价汽车行人保护性能的强制性国家标准，有效地促进汽车生产企业积极研发与改进车辆结构。此外，提高车辆行人保护性能可避免自主品牌拓展海外市场遭遇技术壁垒。</w:t>
      </w:r>
    </w:p>
    <w:p>
      <w:pPr>
        <w:autoSpaceDE w:val="0"/>
        <w:autoSpaceDN w:val="0"/>
        <w:adjustRightInd w:val="0"/>
        <w:spacing w:line="400" w:lineRule="exact"/>
        <w:ind w:firstLine="422"/>
        <w:jc w:val="left"/>
        <w:outlineLvl w:val="0"/>
        <w:rPr>
          <w:b/>
          <w:szCs w:val="21"/>
        </w:rPr>
      </w:pPr>
      <w:r>
        <w:rPr>
          <w:b/>
          <w:szCs w:val="21"/>
        </w:rPr>
        <w:t>（三）主要工作过程</w:t>
      </w:r>
    </w:p>
    <w:p>
      <w:pPr>
        <w:adjustRightInd w:val="0"/>
        <w:snapToGrid w:val="0"/>
        <w:spacing w:line="400" w:lineRule="exact"/>
        <w:ind w:firstLine="420"/>
        <w:rPr>
          <w:szCs w:val="21"/>
        </w:rPr>
      </w:pPr>
      <w:r>
        <w:rPr>
          <w:szCs w:val="21"/>
        </w:rPr>
        <w:t>受工业和信息化部委托，由全国汽车标准化技术委员会组织开展该项标准的制修订工作。全国汽车标准化技术委员会汽车碰撞试验及碰撞防护分技术委员会组织成立了汽车碰撞安全标准研究工作组，于2017年4月启动标准研究与起草工作，组织主要汽车生产企业、检测机构、高校及科研院所共同研究修订GB 24550《汽车对行人的碰撞保护》强制性国家标准。工作组通过企业调研、集中讨论、现场调查和试验验证等多种形式，广泛组织行业力量共同开展汽车对行人的碰撞保护标准的研究与修订工作，深入研究行人保护相关的技术及应用情况，集合行业力量共同修订完成标准征求意见稿。</w:t>
      </w:r>
    </w:p>
    <w:p>
      <w:pPr>
        <w:adjustRightInd w:val="0"/>
        <w:snapToGrid w:val="0"/>
        <w:spacing w:line="400" w:lineRule="exact"/>
        <w:ind w:firstLine="420"/>
        <w:rPr>
          <w:szCs w:val="21"/>
        </w:rPr>
      </w:pPr>
      <w:r>
        <w:rPr>
          <w:szCs w:val="21"/>
        </w:rPr>
        <w:t>2017年4月—2018年3月，标准工作组研究和分析了行人保护有关的国内外标准与法规、技术协议及技术应用和发展情。</w:t>
      </w:r>
    </w:p>
    <w:p>
      <w:pPr>
        <w:snapToGrid w:val="0"/>
        <w:spacing w:line="400" w:lineRule="exact"/>
        <w:ind w:firstLine="420"/>
        <w:jc w:val="left"/>
        <w:rPr>
          <w:szCs w:val="21"/>
        </w:rPr>
      </w:pPr>
      <w:r>
        <w:rPr>
          <w:szCs w:val="21"/>
        </w:rPr>
        <w:t>2018年4月-2019年3月，工作组研究和编制了标准草案及开展前期的行业摸底研究工作，完善了标准的工作组草案稿。</w:t>
      </w:r>
    </w:p>
    <w:p>
      <w:pPr>
        <w:adjustRightInd w:val="0"/>
        <w:snapToGrid w:val="0"/>
        <w:spacing w:line="400" w:lineRule="exact"/>
        <w:ind w:firstLine="420" w:firstLineChars="0"/>
        <w:rPr>
          <w:szCs w:val="21"/>
        </w:rPr>
      </w:pPr>
      <w:r>
        <w:rPr>
          <w:szCs w:val="21"/>
        </w:rPr>
        <w:t xml:space="preserve">2019年5月29日-30日，标准工作组会议在福州召开，中汽中心介绍了标准修订的前期预研工作，调研了行人保护国内外的有关法规，我国目前现行标准是2009年发布的GB/T 24550 《汽车对行人的碰撞保护》，以及2013年发布的配套行业标准QC/T 938 《汽车对行人的碰撞保护试验规程》，随着企业技术的发展相关标准已经不能完全覆盖现有的试验规程。对UN Regulation No.127与GB/T 24550-2009在测试项目和评价指标方面进行了对比分析，提出了标准修订的主要技术大纲。此外，介绍了国内行人保护技术调研结果，我国行人保护技术及测试能力相对健全，修订行人保护强制性国家标准的条件成熟。 </w:t>
      </w:r>
    </w:p>
    <w:p>
      <w:pPr>
        <w:adjustRightInd w:val="0"/>
        <w:snapToGrid w:val="0"/>
        <w:spacing w:line="400" w:lineRule="exact"/>
        <w:ind w:firstLine="420"/>
        <w:rPr>
          <w:szCs w:val="21"/>
        </w:rPr>
      </w:pPr>
      <w:r>
        <w:rPr>
          <w:szCs w:val="21"/>
        </w:rPr>
        <w:t>2019年12月18日-19日，标准工作组2019年第二次工作会议在杭州召开，重点对GB/T 24550《汽车对行人的碰撞保护》标准草案的具体内容进行了逐条讨论，就标准的适用范围、术语和定义、与行人保护要求相关的车辆同一型式等技术内容进行了深入讨论，完成了对标准技术内容的修改。</w:t>
      </w:r>
    </w:p>
    <w:p>
      <w:pPr>
        <w:adjustRightInd w:val="0"/>
        <w:snapToGrid w:val="0"/>
        <w:spacing w:line="400" w:lineRule="exact"/>
        <w:ind w:firstLine="420"/>
        <w:rPr>
          <w:szCs w:val="21"/>
        </w:rPr>
      </w:pPr>
      <w:r>
        <w:rPr>
          <w:szCs w:val="21"/>
        </w:rPr>
        <w:t>2020年5月20日，召开了标准工作组2020年网络工作会议。针对GB 24550《汽车对行人的碰撞保护》标准草案的具体内容，就标准的适用范围、成人头型试验区域、主动式发动机罩等技术内容进行了深入讨论。</w:t>
      </w:r>
    </w:p>
    <w:p>
      <w:pPr>
        <w:adjustRightInd w:val="0"/>
        <w:snapToGrid w:val="0"/>
        <w:spacing w:line="400" w:lineRule="exact"/>
        <w:ind w:firstLine="420"/>
        <w:rPr>
          <w:szCs w:val="21"/>
        </w:rPr>
      </w:pPr>
      <w:r>
        <w:rPr>
          <w:szCs w:val="21"/>
        </w:rPr>
        <w:t>2020年10月21日～22日，标准工作组2020年第二次工作会议在湖南省长沙市召开。天津检测中心介绍了行人保护国际标准法规研究现状、特殊车辆行人保护试验技术研究情况，重点介绍了国内外行人保护标准法规现状，分析了国外法规关于扩大头型试验区域、配置主动悬架、配置主动机罩、特殊车辆等相关法规技术要求；中汽中心安鉴所结合道路交通事故数据，介绍了面包车碰撞弱势道路使用者的事故情况；吉利汽车介绍了基于交通事故数据的两轮车头部测试区域研究，建议将标准头部测试区域增大到WAD 2300；长城汽车和奥托立夫分别介绍了关于行人保护扩大头部测试区域的建议和研究情况，建议将头型测试区扩大到WAD 2300；上汽通用五菱介绍了微型面包车行人保护研究情况。综合会上企业意见，建议新生产车型实施日期为</w:t>
      </w:r>
      <w:r>
        <w:rPr>
          <w:rFonts w:hint="eastAsia"/>
          <w:szCs w:val="21"/>
        </w:rPr>
        <w:t>标准实施之日起开始执行</w:t>
      </w:r>
      <w:r>
        <w:rPr>
          <w:szCs w:val="21"/>
        </w:rPr>
        <w:t>；对于在产车实施日期适当延长，调整为</w:t>
      </w:r>
      <w:r>
        <w:rPr>
          <w:rFonts w:hint="eastAsia"/>
          <w:szCs w:val="21"/>
        </w:rPr>
        <w:t>标准实施之日起第25个月开始执行</w:t>
      </w:r>
      <w:r>
        <w:rPr>
          <w:szCs w:val="21"/>
        </w:rPr>
        <w:t>。</w:t>
      </w:r>
    </w:p>
    <w:p>
      <w:pPr>
        <w:adjustRightInd w:val="0"/>
        <w:snapToGrid w:val="0"/>
        <w:spacing w:line="400" w:lineRule="exact"/>
        <w:ind w:firstLine="420"/>
        <w:rPr>
          <w:szCs w:val="21"/>
        </w:rPr>
      </w:pPr>
      <w:r>
        <w:rPr>
          <w:szCs w:val="21"/>
        </w:rPr>
        <w:t>2021年5月18日～19日，标准工作组2021年第一次工作会议在南昌市召开，讨论了GB 24550《汽车对行人碰撞保护》反馈意见及标准征求意见（初稿）。</w:t>
      </w:r>
    </w:p>
    <w:p>
      <w:pPr>
        <w:adjustRightInd w:val="0"/>
        <w:snapToGrid w:val="0"/>
        <w:spacing w:line="400" w:lineRule="exact"/>
        <w:ind w:firstLine="420"/>
        <w:rPr>
          <w:szCs w:val="21"/>
        </w:rPr>
      </w:pPr>
      <w:r>
        <w:rPr>
          <w:szCs w:val="21"/>
        </w:rPr>
        <w:t>2021年6月—8月，根据标准工作组第五次会议的修改意见，中汽中心对GB 24550标准草案进行了修改和完善，形成了GB 24550《汽车对行人的碰撞保护》标准征求意见稿和编制说明。</w:t>
      </w:r>
      <w:bookmarkStart w:id="21" w:name="_Toc64898476"/>
    </w:p>
    <w:p>
      <w:pPr>
        <w:adjustRightInd w:val="0"/>
        <w:snapToGrid w:val="0"/>
        <w:spacing w:line="400" w:lineRule="exact"/>
        <w:ind w:firstLine="420"/>
        <w:rPr>
          <w:rFonts w:eastAsia="黑体"/>
          <w:bCs/>
          <w:color w:val="000000"/>
          <w:kern w:val="0"/>
          <w:sz w:val="24"/>
        </w:rPr>
      </w:pPr>
      <w:r>
        <w:rPr>
          <w:rFonts w:eastAsia="黑体"/>
          <w:szCs w:val="21"/>
        </w:rPr>
        <w:t>二、</w:t>
      </w:r>
      <w:r>
        <w:rPr>
          <w:rFonts w:eastAsia="黑体"/>
          <w:bCs/>
          <w:color w:val="000000"/>
          <w:kern w:val="0"/>
          <w:sz w:val="24"/>
        </w:rPr>
        <w:t>编制原则、强制性国家标准主要技术要求的依据及理由</w:t>
      </w:r>
      <w:bookmarkEnd w:id="21"/>
    </w:p>
    <w:p>
      <w:pPr>
        <w:pStyle w:val="3"/>
        <w:spacing w:before="0" w:after="0" w:line="400" w:lineRule="exact"/>
        <w:ind w:firstLine="422"/>
        <w:rPr>
          <w:rFonts w:ascii="Times New Roman" w:hAnsi="Times New Roman" w:eastAsia="宋体"/>
          <w:sz w:val="21"/>
          <w:szCs w:val="21"/>
        </w:rPr>
      </w:pPr>
      <w:r>
        <w:rPr>
          <w:rFonts w:ascii="Times New Roman" w:hAnsi="Times New Roman" w:eastAsia="宋体"/>
          <w:sz w:val="21"/>
          <w:szCs w:val="21"/>
        </w:rPr>
        <w:t>（一）标准编制目的</w:t>
      </w:r>
    </w:p>
    <w:p>
      <w:pPr>
        <w:adjustRightInd w:val="0"/>
        <w:snapToGrid w:val="0"/>
        <w:spacing w:line="400" w:lineRule="exact"/>
        <w:ind w:firstLine="420"/>
        <w:rPr>
          <w:szCs w:val="21"/>
        </w:rPr>
      </w:pPr>
      <w:r>
        <w:rPr>
          <w:szCs w:val="21"/>
        </w:rPr>
        <w:t>为提升车辆对行人碰撞的保护性能，降低人与车碰撞事故中行人受重伤或死亡的机率，需要制定能够有效评价汽车行人保护性能的强制性标准，有效地促进汽车生产企业重视并积极改进车辆结构。此外，提高车辆行人保护性能可避免自主品牌拓展海外市场遭遇技术壁垒。</w:t>
      </w:r>
    </w:p>
    <w:p>
      <w:pPr>
        <w:pStyle w:val="3"/>
        <w:spacing w:before="0" w:after="0" w:line="400" w:lineRule="exact"/>
        <w:ind w:firstLine="422"/>
        <w:rPr>
          <w:rFonts w:ascii="Times New Roman" w:hAnsi="Times New Roman" w:eastAsia="宋体"/>
          <w:sz w:val="21"/>
          <w:szCs w:val="21"/>
        </w:rPr>
      </w:pPr>
      <w:r>
        <w:rPr>
          <w:rFonts w:ascii="Times New Roman" w:hAnsi="Times New Roman" w:eastAsia="宋体"/>
          <w:sz w:val="21"/>
          <w:szCs w:val="21"/>
        </w:rPr>
        <w:t>（二）标准编制原则</w:t>
      </w:r>
    </w:p>
    <w:p>
      <w:pPr>
        <w:spacing w:line="400" w:lineRule="exact"/>
        <w:ind w:firstLine="420"/>
        <w:rPr>
          <w:color w:val="000000"/>
          <w:szCs w:val="21"/>
        </w:rPr>
      </w:pPr>
      <w:r>
        <w:rPr>
          <w:color w:val="000000"/>
          <w:szCs w:val="21"/>
        </w:rPr>
        <w:t>综合标准修订前期研究成果，根据本标准制定的基本原则，立足于我国道路交通实际特点及汽车行业的技术现状，开展本标准的修订。随着我国汽车保有量的增加以及技术的发展，对汽车行人保护提出了新要求，为进一步降低交通事故中行人伤亡，本标准的修订和完善过程中对汽车对行人的碰撞保护的技术条件提出了通用性要求，能够有效提高汽车对行人的保护水平，降低道路交通事故伤亡数量，保障消费者生命安全。</w:t>
      </w:r>
    </w:p>
    <w:p>
      <w:pPr>
        <w:spacing w:line="400" w:lineRule="exact"/>
        <w:ind w:firstLine="420"/>
        <w:rPr>
          <w:color w:val="000000"/>
          <w:szCs w:val="21"/>
        </w:rPr>
      </w:pPr>
      <w:r>
        <w:rPr>
          <w:rFonts w:hint="eastAsia"/>
          <w:color w:val="000000"/>
          <w:szCs w:val="21"/>
        </w:rPr>
        <w:t>（1）</w:t>
      </w:r>
      <w:r>
        <w:rPr>
          <w:color w:val="000000"/>
          <w:szCs w:val="21"/>
        </w:rPr>
        <w:t>提升先进性，本标准充分研究了国内外标准法规和企业产品现状，在借鉴国外先进的技术和经验的前提下，结合现阶段我国行人保护技术的快速发展，提出符合现阶段和未来发展的我国汽车行人保护基础标准。</w:t>
      </w:r>
    </w:p>
    <w:p>
      <w:pPr>
        <w:spacing w:line="400" w:lineRule="exact"/>
        <w:ind w:firstLine="420"/>
        <w:rPr>
          <w:color w:val="000000"/>
          <w:szCs w:val="21"/>
        </w:rPr>
      </w:pPr>
      <w:r>
        <w:rPr>
          <w:rFonts w:hint="eastAsia"/>
          <w:color w:val="000000"/>
          <w:szCs w:val="21"/>
        </w:rPr>
        <w:t>（2）</w:t>
      </w:r>
      <w:r>
        <w:rPr>
          <w:color w:val="000000"/>
          <w:szCs w:val="21"/>
        </w:rPr>
        <w:t>考虑可行性，通过调研整车及零部件企业，了解了我国企业在汽车行人保护的技术发展水平或技术储备能力，调研企业对汽车对行人的碰撞保护存在的实施和应用等问题，提出适合且能够引导国内汽车行人保护相关行业发展的标准。</w:t>
      </w:r>
    </w:p>
    <w:p>
      <w:pPr>
        <w:spacing w:line="400" w:lineRule="exact"/>
        <w:ind w:firstLine="420"/>
        <w:rPr>
          <w:color w:val="000000"/>
          <w:szCs w:val="21"/>
        </w:rPr>
      </w:pPr>
      <w:r>
        <w:rPr>
          <w:rFonts w:hint="eastAsia"/>
          <w:color w:val="000000"/>
          <w:szCs w:val="21"/>
        </w:rPr>
        <w:t>（3）</w:t>
      </w:r>
      <w:r>
        <w:rPr>
          <w:color w:val="000000"/>
          <w:szCs w:val="21"/>
        </w:rPr>
        <w:t>注重协调性，汽车行人保护标准的普及在管理和使用上涉及到汽车的各个领域，技术上需要协调汽车整车、零部件制造商等多方面意见，因此在充分协调各方意见的基础上，研究制定满足我国实际情况的汽车行人保护标准，规范汽车对行人碰撞保护的基本性能、持续性能等相关的硬件和软件方面的技术要求和试验方法。</w:t>
      </w:r>
    </w:p>
    <w:p>
      <w:pPr>
        <w:spacing w:line="400" w:lineRule="exact"/>
        <w:ind w:firstLine="420"/>
        <w:rPr>
          <w:color w:val="000000"/>
          <w:szCs w:val="21"/>
        </w:rPr>
      </w:pPr>
      <w:r>
        <w:rPr>
          <w:rFonts w:hint="eastAsia"/>
          <w:color w:val="000000"/>
          <w:szCs w:val="21"/>
        </w:rPr>
        <w:t>（4）</w:t>
      </w:r>
      <w:r>
        <w:rPr>
          <w:color w:val="000000"/>
          <w:szCs w:val="21"/>
        </w:rPr>
        <w:t>编写规范性，本标准为强制性国家标准，严格执行强制性国家标准的相关规定，格式严格按照 GB/T 1.1-2020《标准化工作导则  第1部分：标准化文件的结构和起草规则》的规定进行编制。</w:t>
      </w:r>
    </w:p>
    <w:p>
      <w:pPr>
        <w:pStyle w:val="3"/>
        <w:spacing w:before="0" w:after="0" w:line="400" w:lineRule="exact"/>
        <w:ind w:firstLine="422"/>
        <w:rPr>
          <w:rFonts w:ascii="Times New Roman" w:hAnsi="Times New Roman" w:eastAsia="宋体"/>
          <w:sz w:val="21"/>
          <w:szCs w:val="21"/>
        </w:rPr>
      </w:pPr>
      <w:r>
        <w:rPr>
          <w:rFonts w:ascii="Times New Roman" w:hAnsi="Times New Roman" w:eastAsia="宋体"/>
          <w:sz w:val="21"/>
          <w:szCs w:val="21"/>
        </w:rPr>
        <w:t>（三）标准的主要技术内容及技术依据</w:t>
      </w:r>
    </w:p>
    <w:p>
      <w:pPr>
        <w:pStyle w:val="3"/>
        <w:spacing w:before="0" w:after="0" w:line="300" w:lineRule="auto"/>
        <w:ind w:firstLine="422"/>
        <w:rPr>
          <w:rFonts w:ascii="Times New Roman" w:hAnsi="Times New Roman" w:eastAsia="宋体"/>
          <w:sz w:val="21"/>
          <w:szCs w:val="21"/>
        </w:rPr>
      </w:pPr>
      <w:r>
        <w:rPr>
          <w:rFonts w:ascii="Times New Roman" w:hAnsi="Times New Roman" w:eastAsia="宋体"/>
          <w:sz w:val="21"/>
          <w:szCs w:val="21"/>
        </w:rPr>
        <w:t>1、 标准结构及主要内容</w:t>
      </w:r>
    </w:p>
    <w:p>
      <w:pPr>
        <w:snapToGrid w:val="0"/>
        <w:spacing w:line="300" w:lineRule="auto"/>
        <w:ind w:firstLine="420"/>
        <w:rPr>
          <w:szCs w:val="21"/>
        </w:rPr>
      </w:pPr>
      <w:r>
        <w:rPr>
          <w:szCs w:val="21"/>
        </w:rPr>
        <w:t>标准规定了行人头型、下腿型、上腿型冲击车辆前部结构的试验方法及性能要求，适用于M</w:t>
      </w:r>
      <w:r>
        <w:rPr>
          <w:szCs w:val="21"/>
          <w:vertAlign w:val="subscript"/>
        </w:rPr>
        <w:t>1</w:t>
      </w:r>
      <w:r>
        <w:rPr>
          <w:szCs w:val="21"/>
        </w:rPr>
        <w:t>类和N</w:t>
      </w:r>
      <w:r>
        <w:rPr>
          <w:szCs w:val="21"/>
          <w:vertAlign w:val="subscript"/>
        </w:rPr>
        <w:t>1</w:t>
      </w:r>
      <w:r>
        <w:rPr>
          <w:szCs w:val="21"/>
        </w:rPr>
        <w:t>类汽车。</w:t>
      </w:r>
    </w:p>
    <w:p>
      <w:pPr>
        <w:snapToGrid w:val="0"/>
        <w:spacing w:line="300" w:lineRule="auto"/>
        <w:ind w:firstLine="420"/>
        <w:rPr>
          <w:szCs w:val="21"/>
        </w:rPr>
      </w:pPr>
      <w:r>
        <w:rPr>
          <w:szCs w:val="21"/>
        </w:rPr>
        <w:t>汽车对行人的碰撞保护性能主要包括车辆前部结构对行人头部和腿部的保护，即头型冲击车辆前部结构和下腿型（或上腿型）冲击保险杠。标准规定了行人冲击器冲击车辆前部结构时试验环境、试验速度、试验区域、冲击角度、冲击器冲击姿态等试验参数以及性能指标要求，能够有效评价汽车对行人的碰撞保护性能。</w:t>
      </w:r>
    </w:p>
    <w:p>
      <w:pPr>
        <w:snapToGrid w:val="0"/>
        <w:spacing w:line="300" w:lineRule="auto"/>
        <w:ind w:firstLine="420"/>
        <w:rPr>
          <w:szCs w:val="21"/>
        </w:rPr>
      </w:pPr>
      <w:r>
        <w:rPr>
          <w:szCs w:val="21"/>
        </w:rPr>
        <w:t>行人部件冲击器包括3.5kg儿童头型冲击器、4.5kg成人头型冲击器、FLEX-PLI下腿型冲击器和TRL上腿型冲击器，所有冲击器技术指标、标定要求与UN R127一致。3.5kg儿童头型冲击器、4.5kg成人头型冲击器和TRL上腿型冲击器的技术指标和标定方法保持不变。</w:t>
      </w:r>
    </w:p>
    <w:p>
      <w:pPr>
        <w:pStyle w:val="3"/>
        <w:spacing w:before="0" w:after="0" w:line="300" w:lineRule="auto"/>
        <w:ind w:firstLine="422"/>
        <w:rPr>
          <w:rFonts w:ascii="Times New Roman" w:hAnsi="Times New Roman" w:eastAsia="宋体"/>
          <w:sz w:val="21"/>
          <w:szCs w:val="21"/>
        </w:rPr>
      </w:pPr>
      <w:r>
        <w:rPr>
          <w:rFonts w:ascii="Times New Roman" w:hAnsi="Times New Roman" w:eastAsia="宋体"/>
          <w:sz w:val="21"/>
          <w:szCs w:val="21"/>
        </w:rPr>
        <w:t>2、试验参数与试验区域的确定</w:t>
      </w:r>
    </w:p>
    <w:p>
      <w:pPr>
        <w:snapToGrid w:val="0"/>
        <w:spacing w:line="300" w:lineRule="auto"/>
        <w:ind w:firstLine="420"/>
        <w:rPr>
          <w:szCs w:val="21"/>
        </w:rPr>
      </w:pPr>
      <w:r>
        <w:rPr>
          <w:szCs w:val="21"/>
        </w:rPr>
        <w:t>根据CIDAS统计我国交通事故数据，研究分析汽车对行人碰撞的事故特征，确定了汽车对行人碰撞速度如图1所示，行人头部碰撞汽车前部结构的位置及行人腿部碰撞汽车保险杠的位置如图2所示，汽车对行人碰撞伤害情况分析如图3所示。</w:t>
      </w:r>
    </w:p>
    <w:p>
      <w:pPr>
        <w:spacing w:line="300" w:lineRule="auto"/>
        <w:ind w:firstLine="420"/>
        <w:jc w:val="center"/>
        <w:rPr>
          <w:szCs w:val="21"/>
        </w:rPr>
      </w:pPr>
      <w:r>
        <w:rPr>
          <w:szCs w:val="21"/>
        </w:rPr>
        <w:drawing>
          <wp:inline distT="0" distB="0" distL="114300" distR="114300">
            <wp:extent cx="2520315" cy="1896110"/>
            <wp:effectExtent l="0" t="0" r="6985" b="8890"/>
            <wp:docPr id="3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true"/>
                    </pic:cNvPicPr>
                  </pic:nvPicPr>
                  <pic:blipFill>
                    <a:blip r:embed="rId11"/>
                    <a:stretch>
                      <a:fillRect/>
                    </a:stretch>
                  </pic:blipFill>
                  <pic:spPr>
                    <a:xfrm>
                      <a:off x="0" y="0"/>
                      <a:ext cx="2520315" cy="1896110"/>
                    </a:xfrm>
                    <a:prstGeom prst="rect">
                      <a:avLst/>
                    </a:prstGeom>
                    <a:noFill/>
                    <a:ln>
                      <a:noFill/>
                    </a:ln>
                  </pic:spPr>
                </pic:pic>
              </a:graphicData>
            </a:graphic>
          </wp:inline>
        </w:drawing>
      </w:r>
      <w:r>
        <w:rPr>
          <w:szCs w:val="21"/>
        </w:rPr>
        <w:drawing>
          <wp:inline distT="0" distB="0" distL="114300" distR="114300">
            <wp:extent cx="2518410" cy="1881505"/>
            <wp:effectExtent l="0" t="0" r="8890" b="10795"/>
            <wp:docPr id="2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true"/>
                    </pic:cNvPicPr>
                  </pic:nvPicPr>
                  <pic:blipFill>
                    <a:blip r:embed="rId12"/>
                    <a:stretch>
                      <a:fillRect/>
                    </a:stretch>
                  </pic:blipFill>
                  <pic:spPr>
                    <a:xfrm>
                      <a:off x="0" y="0"/>
                      <a:ext cx="2518410" cy="1881505"/>
                    </a:xfrm>
                    <a:prstGeom prst="rect">
                      <a:avLst/>
                    </a:prstGeom>
                    <a:noFill/>
                    <a:ln>
                      <a:noFill/>
                    </a:ln>
                  </pic:spPr>
                </pic:pic>
              </a:graphicData>
            </a:graphic>
          </wp:inline>
        </w:drawing>
      </w:r>
    </w:p>
    <w:p>
      <w:pPr>
        <w:spacing w:line="300" w:lineRule="auto"/>
        <w:ind w:firstLine="420"/>
        <w:jc w:val="center"/>
        <w:rPr>
          <w:szCs w:val="21"/>
        </w:rPr>
      </w:pPr>
      <w:r>
        <w:rPr>
          <w:szCs w:val="21"/>
        </w:rPr>
        <w:t>图1 行人与车碰撞事故碰撞速度分布情况</w:t>
      </w:r>
    </w:p>
    <w:p>
      <w:pPr>
        <w:spacing w:line="300" w:lineRule="auto"/>
        <w:ind w:firstLine="420"/>
        <w:jc w:val="center"/>
        <w:rPr>
          <w:szCs w:val="21"/>
        </w:rPr>
      </w:pPr>
      <w:r>
        <w:rPr>
          <w:szCs w:val="21"/>
        </w:rPr>
        <w:drawing>
          <wp:inline distT="0" distB="0" distL="114300" distR="114300">
            <wp:extent cx="2447290" cy="1351915"/>
            <wp:effectExtent l="0" t="0" r="3810" b="6985"/>
            <wp:docPr id="30"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true"/>
                    </pic:cNvPicPr>
                  </pic:nvPicPr>
                  <pic:blipFill>
                    <a:blip r:embed="rId13"/>
                    <a:stretch>
                      <a:fillRect/>
                    </a:stretch>
                  </pic:blipFill>
                  <pic:spPr>
                    <a:xfrm>
                      <a:off x="0" y="0"/>
                      <a:ext cx="2447290" cy="1351915"/>
                    </a:xfrm>
                    <a:prstGeom prst="rect">
                      <a:avLst/>
                    </a:prstGeom>
                    <a:noFill/>
                    <a:ln>
                      <a:noFill/>
                    </a:ln>
                  </pic:spPr>
                </pic:pic>
              </a:graphicData>
            </a:graphic>
          </wp:inline>
        </w:drawing>
      </w:r>
      <w:r>
        <w:rPr>
          <w:szCs w:val="21"/>
        </w:rPr>
        <w:drawing>
          <wp:inline distT="0" distB="0" distL="114300" distR="114300">
            <wp:extent cx="2159635" cy="1581150"/>
            <wp:effectExtent l="0" t="0" r="12065" b="6350"/>
            <wp:docPr id="35"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true"/>
                    </pic:cNvPicPr>
                  </pic:nvPicPr>
                  <pic:blipFill>
                    <a:blip r:embed="rId14"/>
                    <a:stretch>
                      <a:fillRect/>
                    </a:stretch>
                  </pic:blipFill>
                  <pic:spPr>
                    <a:xfrm>
                      <a:off x="0" y="0"/>
                      <a:ext cx="2159635" cy="1581150"/>
                    </a:xfrm>
                    <a:prstGeom prst="rect">
                      <a:avLst/>
                    </a:prstGeom>
                    <a:noFill/>
                    <a:ln>
                      <a:noFill/>
                    </a:ln>
                  </pic:spPr>
                </pic:pic>
              </a:graphicData>
            </a:graphic>
          </wp:inline>
        </w:drawing>
      </w:r>
    </w:p>
    <w:p>
      <w:pPr>
        <w:spacing w:line="300" w:lineRule="auto"/>
        <w:ind w:firstLine="420"/>
        <w:jc w:val="center"/>
        <w:rPr>
          <w:szCs w:val="21"/>
        </w:rPr>
      </w:pPr>
      <w:r>
        <w:rPr>
          <w:szCs w:val="21"/>
        </w:rPr>
        <w:t>图2 行人与车碰撞事故行人头部和腿部碰撞位置分布情况</w:t>
      </w:r>
    </w:p>
    <w:p>
      <w:pPr>
        <w:spacing w:line="300" w:lineRule="auto"/>
        <w:ind w:firstLine="420"/>
        <w:jc w:val="center"/>
        <w:rPr>
          <w:szCs w:val="21"/>
        </w:rPr>
      </w:pPr>
      <w:r>
        <w:rPr>
          <w:szCs w:val="21"/>
        </w:rPr>
        <w:drawing>
          <wp:inline distT="0" distB="0" distL="114300" distR="114300">
            <wp:extent cx="2516505" cy="1678305"/>
            <wp:effectExtent l="0" t="0" r="10795" b="10795"/>
            <wp:docPr id="46"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true"/>
                    </pic:cNvPicPr>
                  </pic:nvPicPr>
                  <pic:blipFill>
                    <a:blip r:embed="rId15"/>
                    <a:stretch>
                      <a:fillRect/>
                    </a:stretch>
                  </pic:blipFill>
                  <pic:spPr>
                    <a:xfrm>
                      <a:off x="0" y="0"/>
                      <a:ext cx="2516505" cy="1678305"/>
                    </a:xfrm>
                    <a:prstGeom prst="rect">
                      <a:avLst/>
                    </a:prstGeom>
                    <a:noFill/>
                    <a:ln>
                      <a:noFill/>
                    </a:ln>
                  </pic:spPr>
                </pic:pic>
              </a:graphicData>
            </a:graphic>
          </wp:inline>
        </w:drawing>
      </w:r>
    </w:p>
    <w:p>
      <w:pPr>
        <w:spacing w:line="300" w:lineRule="auto"/>
        <w:ind w:firstLine="420"/>
        <w:jc w:val="center"/>
        <w:rPr>
          <w:szCs w:val="21"/>
        </w:rPr>
      </w:pPr>
      <w:r>
        <w:rPr>
          <w:szCs w:val="21"/>
        </w:rPr>
        <w:t>图3 行人与车碰撞事故行人伤亡与碰撞位置关系</w:t>
      </w:r>
    </w:p>
    <w:p>
      <w:pPr>
        <w:snapToGrid w:val="0"/>
        <w:spacing w:line="300" w:lineRule="auto"/>
        <w:ind w:firstLine="420"/>
        <w:rPr>
          <w:szCs w:val="21"/>
        </w:rPr>
      </w:pPr>
      <w:r>
        <w:rPr>
          <w:szCs w:val="21"/>
        </w:rPr>
        <w:t>根据以上研究结果确定头部和腿部评价区域以及评价试验参数，结合国内车辆性能现状，头部评价区域设定在发动机罩区域，腿部评价区域为两个保险杠角之间或横梁宽度保险杠区域。用FLEX-PLI下腿型或TRL上腿型冲击器以40km/h的速度水平冲击保险杠评价车辆前部结构对行人腿部的碰撞保护性能；用儿童头型冲击器和成人头型冲击器以35km/h的速度冲击发动机罩评价车辆前部结构对行人头部的碰撞保护性能。</w:t>
      </w:r>
    </w:p>
    <w:p>
      <w:pPr>
        <w:snapToGrid w:val="0"/>
        <w:spacing w:line="300" w:lineRule="auto"/>
        <w:ind w:firstLine="422"/>
        <w:rPr>
          <w:b/>
          <w:bCs/>
          <w:szCs w:val="21"/>
        </w:rPr>
      </w:pPr>
      <w:r>
        <w:rPr>
          <w:b/>
          <w:bCs/>
          <w:szCs w:val="21"/>
        </w:rPr>
        <w:t>3.标准技术关键点及主要试验（或验证）情况分析</w:t>
      </w:r>
    </w:p>
    <w:p>
      <w:pPr>
        <w:snapToGrid w:val="0"/>
        <w:spacing w:line="300" w:lineRule="auto"/>
        <w:ind w:firstLine="422"/>
        <w:rPr>
          <w:b/>
          <w:bCs/>
          <w:szCs w:val="21"/>
        </w:rPr>
      </w:pPr>
      <w:r>
        <w:rPr>
          <w:b/>
          <w:bCs/>
          <w:szCs w:val="21"/>
        </w:rPr>
        <w:t>3.1国内外标准法规对比</w:t>
      </w:r>
    </w:p>
    <w:p>
      <w:pPr>
        <w:snapToGrid w:val="0"/>
        <w:spacing w:line="300" w:lineRule="auto"/>
        <w:ind w:firstLine="420"/>
        <w:rPr>
          <w:szCs w:val="21"/>
        </w:rPr>
      </w:pPr>
      <w:r>
        <w:rPr>
          <w:szCs w:val="21"/>
        </w:rPr>
        <w:t>（1）国外行人保护现状</w:t>
      </w:r>
      <w:bookmarkStart w:id="22" w:name="OLE_LINK2"/>
      <w:bookmarkStart w:id="23" w:name="OLE_LINK1"/>
    </w:p>
    <w:bookmarkEnd w:id="22"/>
    <w:bookmarkEnd w:id="23"/>
    <w:p>
      <w:pPr>
        <w:snapToGrid w:val="0"/>
        <w:spacing w:line="300" w:lineRule="auto"/>
        <w:ind w:firstLine="420"/>
        <w:rPr>
          <w:szCs w:val="21"/>
        </w:rPr>
      </w:pPr>
      <w:r>
        <w:rPr>
          <w:szCs w:val="21"/>
        </w:rPr>
        <w:t>欧洲、日本等汽车发达国家和地区将行人保护纳入法规体系，且2011年以后陆续采用柔性下腿型FLEX-PLI替代传统TRL刚性下腿型进行行人腿部评价。欧洲、日本、俄罗斯等汽车发达国家和地区也已将行人保护定为强制性检验项目，行人保护标准法规有GTR 9、UN R127、ISO 14513等。</w:t>
      </w:r>
    </w:p>
    <w:p>
      <w:pPr>
        <w:snapToGrid w:val="0"/>
        <w:spacing w:line="300" w:lineRule="auto"/>
        <w:ind w:firstLine="420"/>
        <w:rPr>
          <w:szCs w:val="21"/>
        </w:rPr>
      </w:pPr>
      <w:r>
        <w:rPr>
          <w:szCs w:val="21"/>
        </w:rPr>
        <w:t>国外汽车品牌较早开始研究车辆对行人碰撞保护性能，行人保护开发测试能力领先国内汽车品牌。其车型不仅满足UN R127对车辆行人保护性能要求，还能在新车评价中取得较好的星级成绩。统计发现，近两年国际汽车市场，装备主动弹起式发动机罩系统的车辆占20%以上。</w:t>
      </w:r>
    </w:p>
    <w:p>
      <w:pPr>
        <w:snapToGrid w:val="0"/>
        <w:spacing w:line="300" w:lineRule="auto"/>
        <w:ind w:firstLine="420"/>
        <w:rPr>
          <w:szCs w:val="21"/>
        </w:rPr>
      </w:pPr>
      <w:r>
        <w:rPr>
          <w:szCs w:val="21"/>
        </w:rPr>
        <w:t>（2）我国行人保护现状</w:t>
      </w:r>
    </w:p>
    <w:p>
      <w:pPr>
        <w:snapToGrid w:val="0"/>
        <w:spacing w:line="300" w:lineRule="auto"/>
        <w:ind w:firstLine="420"/>
        <w:rPr>
          <w:szCs w:val="21"/>
        </w:rPr>
      </w:pPr>
      <w:r>
        <w:rPr>
          <w:szCs w:val="21"/>
        </w:rPr>
        <w:t>我国道路交通事故中，行人与机动车碰撞事故发生的几率高，行人伤亡人数占比高。根据CIDAS统计我国交通事故数据，我国道路交通事故中弱势道路群体与汽车碰撞事故约占80%，其中行人与汽车碰撞事故约占20%，道路交通事故死亡人数中行人死亡人数约占30%，见图4。</w:t>
      </w:r>
    </w:p>
    <w:p>
      <w:pPr>
        <w:spacing w:line="300" w:lineRule="auto"/>
        <w:ind w:firstLine="420"/>
        <w:rPr>
          <w:szCs w:val="21"/>
        </w:rPr>
      </w:pPr>
      <w:r>
        <w:rPr>
          <w:szCs w:val="21"/>
        </w:rPr>
        <w:drawing>
          <wp:inline distT="0" distB="0" distL="114300" distR="114300">
            <wp:extent cx="2268855" cy="1813560"/>
            <wp:effectExtent l="0" t="0" r="4445" b="2540"/>
            <wp:docPr id="37"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true"/>
                    </pic:cNvPicPr>
                  </pic:nvPicPr>
                  <pic:blipFill>
                    <a:blip r:embed="rId16"/>
                    <a:stretch>
                      <a:fillRect/>
                    </a:stretch>
                  </pic:blipFill>
                  <pic:spPr>
                    <a:xfrm>
                      <a:off x="0" y="0"/>
                      <a:ext cx="2268855" cy="1813560"/>
                    </a:xfrm>
                    <a:prstGeom prst="rect">
                      <a:avLst/>
                    </a:prstGeom>
                    <a:noFill/>
                    <a:ln>
                      <a:noFill/>
                    </a:ln>
                  </pic:spPr>
                </pic:pic>
              </a:graphicData>
            </a:graphic>
          </wp:inline>
        </w:drawing>
      </w:r>
      <w:r>
        <w:rPr>
          <w:szCs w:val="21"/>
        </w:rPr>
        <w:drawing>
          <wp:inline distT="0" distB="0" distL="114300" distR="114300">
            <wp:extent cx="2519680" cy="1830070"/>
            <wp:effectExtent l="0" t="0" r="7620" b="11430"/>
            <wp:docPr id="4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true"/>
                    </pic:cNvPicPr>
                  </pic:nvPicPr>
                  <pic:blipFill>
                    <a:blip r:embed="rId17"/>
                    <a:stretch>
                      <a:fillRect/>
                    </a:stretch>
                  </pic:blipFill>
                  <pic:spPr>
                    <a:xfrm>
                      <a:off x="0" y="0"/>
                      <a:ext cx="2519680" cy="1830070"/>
                    </a:xfrm>
                    <a:prstGeom prst="rect">
                      <a:avLst/>
                    </a:prstGeom>
                    <a:noFill/>
                    <a:ln>
                      <a:noFill/>
                    </a:ln>
                  </pic:spPr>
                </pic:pic>
              </a:graphicData>
            </a:graphic>
          </wp:inline>
        </w:drawing>
      </w:r>
    </w:p>
    <w:p>
      <w:pPr>
        <w:spacing w:line="300" w:lineRule="auto"/>
        <w:ind w:firstLine="420"/>
        <w:jc w:val="center"/>
        <w:rPr>
          <w:szCs w:val="21"/>
        </w:rPr>
      </w:pPr>
      <w:r>
        <w:rPr>
          <w:szCs w:val="21"/>
        </w:rPr>
        <w:t>图4 中国道路交通事故分布情况以及人员伤亡情况</w:t>
      </w:r>
    </w:p>
    <w:p>
      <w:pPr>
        <w:snapToGrid w:val="0"/>
        <w:spacing w:line="300" w:lineRule="auto"/>
        <w:ind w:firstLine="420"/>
        <w:rPr>
          <w:color w:val="000000"/>
          <w:szCs w:val="21"/>
        </w:rPr>
      </w:pPr>
      <w:r>
        <w:rPr>
          <w:szCs w:val="21"/>
        </w:rPr>
        <w:t>为降低汽车对行人的碰撞伤亡率，提高汽车对行人的碰撞保护，2009年我国发布了推荐性行人保护标准GB/T 24550-2009 《汽车对行人的碰撞保护》。2013年我国发布了行业推荐标准QC/T 938-2013《汽车对行人的碰撞保护试验规程》。国内汽车企业积极研究行人保护技术，新车型基本满足GB/T 24550-2009 《汽车对行人的碰撞保护》标准要求，具备一定行人保护研发能力</w:t>
      </w:r>
      <w:r>
        <w:rPr>
          <w:color w:val="000000"/>
          <w:szCs w:val="21"/>
        </w:rPr>
        <w:t>。</w:t>
      </w:r>
    </w:p>
    <w:p>
      <w:pPr>
        <w:snapToGrid w:val="0"/>
        <w:spacing w:line="300" w:lineRule="auto"/>
        <w:ind w:firstLine="422"/>
        <w:rPr>
          <w:b/>
          <w:bCs/>
          <w:szCs w:val="21"/>
        </w:rPr>
      </w:pPr>
      <w:r>
        <w:rPr>
          <w:b/>
          <w:bCs/>
          <w:szCs w:val="21"/>
        </w:rPr>
        <w:t>3.2 试验方案确定</w:t>
      </w:r>
    </w:p>
    <w:p>
      <w:pPr>
        <w:spacing w:line="300" w:lineRule="auto"/>
        <w:ind w:firstLine="420"/>
        <w:rPr>
          <w:color w:val="000000"/>
          <w:szCs w:val="21"/>
        </w:rPr>
      </w:pPr>
      <w:r>
        <w:rPr>
          <w:color w:val="000000"/>
          <w:szCs w:val="21"/>
        </w:rPr>
        <w:t>通过事故统计可以得出结论，头部是撞击事故中致死率最高的部位，而腿部则是致残率最高的部位（见图5），所以现阶段国际上主流的方法是针对这两个关键部位进行考核测试。</w:t>
      </w:r>
    </w:p>
    <w:p>
      <w:pPr>
        <w:spacing w:line="300" w:lineRule="auto"/>
        <w:ind w:firstLine="420"/>
        <w:rPr>
          <w:color w:val="000000"/>
          <w:szCs w:val="21"/>
        </w:rPr>
      </w:pPr>
      <w:r>
        <w:rPr>
          <w:color w:val="000000"/>
          <w:szCs w:val="21"/>
        </w:rPr>
        <w:drawing>
          <wp:inline distT="0" distB="0" distL="114300" distR="114300">
            <wp:extent cx="4314825" cy="1661160"/>
            <wp:effectExtent l="0" t="0" r="3175" b="2540"/>
            <wp:docPr id="54" name="图片 28" descr="图示&#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28" descr="图示&#10;&#10;低可信度描述已自动生成"/>
                    <pic:cNvPicPr>
                      <a:picLocks noChangeAspect="true"/>
                    </pic:cNvPicPr>
                  </pic:nvPicPr>
                  <pic:blipFill>
                    <a:blip r:embed="rId18"/>
                    <a:stretch>
                      <a:fillRect/>
                    </a:stretch>
                  </pic:blipFill>
                  <pic:spPr>
                    <a:xfrm>
                      <a:off x="0" y="0"/>
                      <a:ext cx="4314825" cy="1661160"/>
                    </a:xfrm>
                    <a:prstGeom prst="rect">
                      <a:avLst/>
                    </a:prstGeom>
                    <a:noFill/>
                    <a:ln>
                      <a:noFill/>
                    </a:ln>
                  </pic:spPr>
                </pic:pic>
              </a:graphicData>
            </a:graphic>
          </wp:inline>
        </w:drawing>
      </w:r>
    </w:p>
    <w:p>
      <w:pPr>
        <w:spacing w:line="300" w:lineRule="auto"/>
        <w:ind w:firstLine="420"/>
        <w:jc w:val="center"/>
        <w:rPr>
          <w:color w:val="000000"/>
          <w:szCs w:val="21"/>
        </w:rPr>
      </w:pPr>
      <w:r>
        <w:rPr>
          <w:color w:val="000000"/>
          <w:szCs w:val="21"/>
        </w:rPr>
        <w:t>图5 行人身体各主要部位伤害统计图</w:t>
      </w:r>
    </w:p>
    <w:p>
      <w:pPr>
        <w:spacing w:line="300" w:lineRule="auto"/>
        <w:ind w:firstLine="420"/>
        <w:rPr>
          <w:szCs w:val="21"/>
        </w:rPr>
      </w:pPr>
      <w:r>
        <w:rPr>
          <w:szCs w:val="21"/>
        </w:rPr>
        <w:t>人体的头部，我们重点关注的是撞击对颅脑的损伤情况，参考国际通用的头部损伤指标HIC，作为考核依据，通过将损伤量化衡量车辆对于头部保护的性能；为减少行人在撞击过程中受到的骨折和韧带撕裂伤害，对于腿部重点考核大腿、小腿和膝部韧带的伤害，从而减轻人员的受伤害程度。</w:t>
      </w:r>
    </w:p>
    <w:p>
      <w:pPr>
        <w:spacing w:line="300" w:lineRule="auto"/>
        <w:ind w:firstLine="420"/>
        <w:rPr>
          <w:szCs w:val="21"/>
        </w:rPr>
      </w:pPr>
      <w:r>
        <w:rPr>
          <w:szCs w:val="21"/>
        </w:rPr>
        <w:t>行人在事故中受伤主要集中在头部与下肢，因此在评价车辆对行人的保护能力时，考察车辆对头部和腿部的保护是具有实际意义与可行性。本标准试验使用行人头型冲击器与行人腿型冲击器冲击车辆，实现冲击器对头部腿部受伤情况的模拟，从而考察车辆对行人的碰撞保护情况。</w:t>
      </w:r>
    </w:p>
    <w:p>
      <w:pPr>
        <w:spacing w:line="300" w:lineRule="auto"/>
        <w:ind w:firstLine="420"/>
        <w:rPr>
          <w:szCs w:val="21"/>
        </w:rPr>
      </w:pPr>
      <w:r>
        <w:rPr>
          <w:szCs w:val="21"/>
        </w:rPr>
        <w:t>在确定试验使用的冲击器后，需要进一步确定试验撞击方式。在车辆与行人交通事故的调查与重建中发现，车辆行驶速度平均值在35km/h附近，并且在车辆与行人撞击事故发生时可近似认为不存在其他相对速度，故在试验中选择头型冲击器的冲击速度为35km/h。</w:t>
      </w:r>
    </w:p>
    <w:p>
      <w:pPr>
        <w:spacing w:line="300" w:lineRule="auto"/>
        <w:ind w:firstLine="420"/>
        <w:rPr>
          <w:szCs w:val="21"/>
        </w:rPr>
      </w:pPr>
      <w:r>
        <w:rPr>
          <w:szCs w:val="21"/>
        </w:rPr>
        <w:t>CIDAS的数据显示在乘用车与二轮车事故中，WAD(1700∽1900）区间内，自行车、电动自行车、摩托车骑行者比例分别为各自的20.8%、15.4%、21.6%；WAD(1900∽2100）区间内，自行车、电动自行车、摩托车骑行者比例分别为各自的24.7%、20.8%、24.1%；WAD(2100∽2300）区间内，自行车、电动自行车、摩托车骑行者比例分别为各自的16.9%、23.5%、14.8%。在WAD1700至WAD2300之间，自行车占比62.4%，电动自行车占比59.7%，摩托车占比60.5%；WAD2300以下区间，三种二轮车分别为84.4%、92.0%、89.5%，可见二轮车骑行者头部车辆碰撞位置主要发生在此区间内，因此在建立试验场景时，确定头型冲击点区域在WAD2300以下能够涵盖绝大多数的事故场景，客观反映我国真实道路事故情况，见图6。</w:t>
      </w:r>
    </w:p>
    <w:p>
      <w:pPr>
        <w:spacing w:line="300" w:lineRule="auto"/>
        <w:ind w:firstLine="420"/>
        <w:rPr>
          <w:color w:val="000000"/>
          <w:szCs w:val="21"/>
        </w:rPr>
      </w:pPr>
      <w:r>
        <w:rPr>
          <w:color w:val="000000"/>
          <w:szCs w:val="21"/>
        </w:rPr>
        <w:drawing>
          <wp:inline distT="0" distB="0" distL="114300" distR="114300">
            <wp:extent cx="4490720" cy="1762760"/>
            <wp:effectExtent l="0" t="0" r="5080" b="2540"/>
            <wp:docPr id="48" name="图片 29" descr="图表, 条形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29" descr="图表, 条形图&#10;&#10;描述已自动生成"/>
                    <pic:cNvPicPr>
                      <a:picLocks noChangeAspect="true"/>
                    </pic:cNvPicPr>
                  </pic:nvPicPr>
                  <pic:blipFill>
                    <a:blip r:embed="rId19"/>
                    <a:stretch>
                      <a:fillRect/>
                    </a:stretch>
                  </pic:blipFill>
                  <pic:spPr>
                    <a:xfrm>
                      <a:off x="0" y="0"/>
                      <a:ext cx="4490720" cy="1762760"/>
                    </a:xfrm>
                    <a:prstGeom prst="rect">
                      <a:avLst/>
                    </a:prstGeom>
                    <a:noFill/>
                    <a:ln>
                      <a:noFill/>
                    </a:ln>
                  </pic:spPr>
                </pic:pic>
              </a:graphicData>
            </a:graphic>
          </wp:inline>
        </w:drawing>
      </w:r>
    </w:p>
    <w:p>
      <w:pPr>
        <w:spacing w:line="300" w:lineRule="auto"/>
        <w:ind w:firstLine="420"/>
        <w:jc w:val="center"/>
        <w:rPr>
          <w:color w:val="000000"/>
          <w:szCs w:val="21"/>
        </w:rPr>
      </w:pPr>
      <w:r>
        <w:rPr>
          <w:color w:val="000000"/>
          <w:szCs w:val="21"/>
        </w:rPr>
        <w:t>图6 我国两轮车头型撞击区域分布图</w:t>
      </w:r>
    </w:p>
    <w:p>
      <w:pPr>
        <w:spacing w:line="300" w:lineRule="auto"/>
        <w:ind w:firstLine="420"/>
        <w:rPr>
          <w:color w:val="000000"/>
          <w:szCs w:val="21"/>
        </w:rPr>
      </w:pPr>
      <w:r>
        <w:rPr>
          <w:color w:val="000000"/>
          <w:szCs w:val="21"/>
        </w:rPr>
        <w:t>根据二轮车骑行者与车辆碰撞结果，结合仿真模拟中头型落点分布，可以确定二轮车骑行者在与车辆发生碰撞时，头部落点位置比行人头部落点更靠后，落点包络距离WAD也更大。原有的WAD 1000至WAD 2100的头部试验区域不再能满足二轮车骑行者在与车辆发生碰撞时头部撞击点的试验需求，因此将扩展头部试验区域，使得试验区域满足二轮车骑行者的头部落点分布，新扩增的二轮车骑行者头部试验区域为WAD 2100至WAD 2300的区域，见图7。</w:t>
      </w:r>
    </w:p>
    <w:p>
      <w:pPr>
        <w:spacing w:line="300" w:lineRule="auto"/>
        <w:ind w:firstLine="420"/>
        <w:jc w:val="center"/>
        <w:rPr>
          <w:color w:val="000000"/>
          <w:szCs w:val="21"/>
        </w:rPr>
      </w:pPr>
      <w:r>
        <w:rPr>
          <w:color w:val="000000"/>
          <w:szCs w:val="21"/>
        </w:rPr>
        <w:drawing>
          <wp:inline distT="0" distB="0" distL="114300" distR="114300">
            <wp:extent cx="1280795" cy="1570355"/>
            <wp:effectExtent l="0" t="0" r="1905" b="4445"/>
            <wp:docPr id="33" name="图片 38" descr="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8" descr="图示&#10;&#10;描述已自动生成"/>
                    <pic:cNvPicPr>
                      <a:picLocks noChangeAspect="true"/>
                    </pic:cNvPicPr>
                  </pic:nvPicPr>
                  <pic:blipFill>
                    <a:blip r:embed="rId20"/>
                    <a:stretch>
                      <a:fillRect/>
                    </a:stretch>
                  </pic:blipFill>
                  <pic:spPr>
                    <a:xfrm>
                      <a:off x="0" y="0"/>
                      <a:ext cx="1280795" cy="1570355"/>
                    </a:xfrm>
                    <a:prstGeom prst="rect">
                      <a:avLst/>
                    </a:prstGeom>
                    <a:noFill/>
                    <a:ln>
                      <a:noFill/>
                    </a:ln>
                  </pic:spPr>
                </pic:pic>
              </a:graphicData>
            </a:graphic>
          </wp:inline>
        </w:drawing>
      </w:r>
    </w:p>
    <w:p>
      <w:pPr>
        <w:spacing w:line="300" w:lineRule="auto"/>
        <w:ind w:firstLine="420"/>
        <w:jc w:val="center"/>
        <w:rPr>
          <w:color w:val="000000"/>
          <w:szCs w:val="21"/>
        </w:rPr>
      </w:pPr>
      <w:r>
        <w:rPr>
          <w:color w:val="000000"/>
          <w:szCs w:val="21"/>
        </w:rPr>
        <w:t>图7 行人头部碰撞区域示意图</w:t>
      </w:r>
    </w:p>
    <w:p>
      <w:pPr>
        <w:snapToGrid w:val="0"/>
        <w:spacing w:line="300" w:lineRule="auto"/>
        <w:ind w:firstLine="422"/>
        <w:rPr>
          <w:b/>
          <w:bCs/>
          <w:szCs w:val="21"/>
        </w:rPr>
      </w:pPr>
      <w:r>
        <w:rPr>
          <w:b/>
          <w:bCs/>
          <w:szCs w:val="21"/>
        </w:rPr>
        <w:t>3.3 试验验证结果</w:t>
      </w:r>
    </w:p>
    <w:p>
      <w:pPr>
        <w:spacing w:line="300" w:lineRule="auto"/>
        <w:ind w:firstLine="420"/>
        <w:rPr>
          <w:color w:val="000000"/>
          <w:szCs w:val="21"/>
        </w:rPr>
      </w:pPr>
      <w:r>
        <w:rPr>
          <w:color w:val="000000"/>
          <w:szCs w:val="21"/>
        </w:rPr>
        <w:t>工作组组织完成国内主流品牌汽车的行人保护验证试验，车型数量共计43款，覆盖轿车、紧凑型SUV和中大型SUV等车型，其中自主品牌车型数量占80%。每款车按照新标准要求进行了所有项目的验证测试，测试主要结果如下：</w:t>
      </w:r>
    </w:p>
    <w:p>
      <w:pPr>
        <w:spacing w:line="300" w:lineRule="auto"/>
        <w:ind w:firstLine="420"/>
        <w:rPr>
          <w:color w:val="000000"/>
          <w:szCs w:val="21"/>
        </w:rPr>
      </w:pPr>
      <w:r>
        <w:rPr>
          <w:color w:val="000000"/>
          <w:szCs w:val="21"/>
        </w:rPr>
        <w:t>（1）轿车验证试验</w:t>
      </w:r>
    </w:p>
    <w:p>
      <w:pPr>
        <w:spacing w:line="300" w:lineRule="auto"/>
        <w:ind w:firstLine="420"/>
        <w:rPr>
          <w:color w:val="000000"/>
          <w:szCs w:val="21"/>
        </w:rPr>
      </w:pPr>
      <w:r>
        <w:rPr>
          <w:color w:val="000000"/>
          <w:szCs w:val="21"/>
        </w:rPr>
        <w:t>轿车组测试共计20款车型，其中欧美系合资品牌车型5款，日韩系合资品牌车型6款，自主品牌9款。其中自主品牌企业有比亚迪，长安汽车，北京汽车，一汽红旗，上汽等品牌。全部车型整备质量从1260kg至1878kg，覆盖了各种级别的轿车车型。</w:t>
      </w:r>
    </w:p>
    <w:p>
      <w:pPr>
        <w:spacing w:line="300" w:lineRule="auto"/>
        <w:ind w:firstLine="420"/>
        <w:rPr>
          <w:color w:val="000000"/>
          <w:szCs w:val="21"/>
        </w:rPr>
      </w:pPr>
      <w:r>
        <w:rPr>
          <w:color w:val="000000"/>
          <w:szCs w:val="21"/>
        </w:rPr>
        <w:t>全部车辆的正常行驶高度与其设计高度偏差均在15mm以内，符合调整至设计高度的要求。通过对试验区域标记，确定发动机罩上部头型测试区域和风窗玻璃头型测试区域，施划了A、B区的分界线。</w:t>
      </w:r>
    </w:p>
    <w:p>
      <w:pPr>
        <w:spacing w:line="300" w:lineRule="auto"/>
        <w:ind w:firstLine="420"/>
        <w:rPr>
          <w:color w:val="000000"/>
          <w:szCs w:val="21"/>
        </w:rPr>
      </w:pPr>
      <w:r>
        <w:rPr>
          <w:color w:val="000000"/>
          <w:szCs w:val="21"/>
        </w:rPr>
        <w:t>腿型测试，保险杠下部基准线全部低于425mm，采用了柔性腿型进行测试。关键参数防撞梁宽度处于1000mm到1460mm之间，保险杠角边界最大值为1440mm。</w:t>
      </w:r>
    </w:p>
    <w:p>
      <w:pPr>
        <w:spacing w:line="300" w:lineRule="auto"/>
        <w:ind w:firstLine="420"/>
        <w:rPr>
          <w:color w:val="000000"/>
          <w:szCs w:val="21"/>
        </w:rPr>
      </w:pPr>
      <w:r>
        <w:rPr>
          <w:color w:val="000000"/>
          <w:szCs w:val="21"/>
        </w:rPr>
        <w:t>某品牌车型，选取了损伤最大的12个碰撞点进行测试，其中A区8个，B区4个,主要划线区域见图8。除CH12之外，全部头型测试结果HIC</w:t>
      </w:r>
      <w:r>
        <w:rPr>
          <w:color w:val="000000"/>
          <w:szCs w:val="21"/>
          <w:vertAlign w:val="subscript"/>
        </w:rPr>
        <w:t>15</w:t>
      </w:r>
      <w:r>
        <w:rPr>
          <w:color w:val="000000"/>
          <w:szCs w:val="21"/>
        </w:rPr>
        <w:t>均小于1000，而CH12位于B区内，HIC</w:t>
      </w:r>
      <w:r>
        <w:rPr>
          <w:color w:val="000000"/>
          <w:szCs w:val="21"/>
          <w:vertAlign w:val="subscript"/>
        </w:rPr>
        <w:t>15</w:t>
      </w:r>
      <w:r>
        <w:rPr>
          <w:color w:val="000000"/>
          <w:szCs w:val="21"/>
        </w:rPr>
        <w:t>小于1700；风窗玻璃测试区域未出现非典型破碎情况，所有HIC</w:t>
      </w:r>
      <w:r>
        <w:rPr>
          <w:color w:val="000000"/>
          <w:szCs w:val="21"/>
          <w:vertAlign w:val="subscript"/>
        </w:rPr>
        <w:t>15</w:t>
      </w:r>
      <w:r>
        <w:rPr>
          <w:color w:val="000000"/>
          <w:szCs w:val="21"/>
        </w:rPr>
        <w:t>均小于650，头型测试结果符合标准要求；腿型测试点选择了拖车钩、牌照板尖角和大灯尖角三个位置，三次试验小腿弯矩均小于340Nm，MCL韧带延伸量小于22mm，ACL和PCL韧带延伸量小于13mm，符合标准要求，试验结果见图9。</w:t>
      </w:r>
    </w:p>
    <w:p>
      <w:pPr>
        <w:ind w:firstLine="0" w:firstLineChars="0"/>
        <w:jc w:val="center"/>
      </w:pPr>
      <w:r>
        <w:drawing>
          <wp:inline distT="0" distB="0" distL="0" distR="0">
            <wp:extent cx="2742565" cy="1591945"/>
            <wp:effectExtent l="0" t="0" r="635" b="8255"/>
            <wp:docPr id="3" name="图片 3" descr="图片包含 室内, 食物, 头盔, 盘子&#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包含 室内, 食物, 头盔, 盘子&#10;&#10;描述已自动生成"/>
                    <pic:cNvPicPr>
                      <a:picLocks noChangeAspect="true"/>
                    </pic:cNvPicPr>
                  </pic:nvPicPr>
                  <pic:blipFill>
                    <a:blip r:embed="rId21">
                      <a:extLst>
                        <a:ext uri="{28A0092B-C50C-407E-A947-70E740481C1C}">
                          <a14:useLocalDpi xmlns:a14="http://schemas.microsoft.com/office/drawing/2010/main" val="false"/>
                        </a:ext>
                      </a:extLst>
                    </a:blip>
                    <a:stretch>
                      <a:fillRect/>
                    </a:stretch>
                  </pic:blipFill>
                  <pic:spPr>
                    <a:xfrm>
                      <a:off x="0" y="0"/>
                      <a:ext cx="2742565" cy="1591945"/>
                    </a:xfrm>
                    <a:prstGeom prst="rect">
                      <a:avLst/>
                    </a:prstGeom>
                  </pic:spPr>
                </pic:pic>
              </a:graphicData>
            </a:graphic>
          </wp:inline>
        </w:drawing>
      </w:r>
    </w:p>
    <w:p>
      <w:pPr>
        <w:spacing w:line="300" w:lineRule="auto"/>
        <w:ind w:firstLine="420"/>
        <w:jc w:val="center"/>
        <w:rPr>
          <w:color w:val="000000"/>
          <w:szCs w:val="21"/>
        </w:rPr>
      </w:pPr>
      <w:r>
        <w:rPr>
          <w:color w:val="000000"/>
          <w:szCs w:val="21"/>
        </w:rPr>
        <w:t>图8 行人头部试验区域示意图</w:t>
      </w:r>
    </w:p>
    <w:p>
      <w:pPr>
        <w:ind w:firstLine="0" w:firstLineChars="0"/>
        <w:jc w:val="center"/>
      </w:pPr>
      <w:r>
        <w:drawing>
          <wp:inline distT="0" distB="0" distL="0" distR="0">
            <wp:extent cx="3851275" cy="2082165"/>
            <wp:effectExtent l="0" t="0" r="15875" b="13335"/>
            <wp:docPr id="7" name="图片 7"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形用户界面&#10;&#10;描述已自动生成"/>
                    <pic:cNvPicPr>
                      <a:picLocks noChangeAspect="true"/>
                    </pic:cNvPicPr>
                  </pic:nvPicPr>
                  <pic:blipFill>
                    <a:blip r:embed="rId22" cstate="print">
                      <a:extLst>
                        <a:ext uri="{28A0092B-C50C-407E-A947-70E740481C1C}">
                          <a14:useLocalDpi xmlns:a14="http://schemas.microsoft.com/office/drawing/2010/main" val="false"/>
                        </a:ext>
                      </a:extLst>
                    </a:blip>
                    <a:stretch>
                      <a:fillRect/>
                    </a:stretch>
                  </pic:blipFill>
                  <pic:spPr>
                    <a:xfrm>
                      <a:off x="0" y="0"/>
                      <a:ext cx="3851275" cy="2082165"/>
                    </a:xfrm>
                    <a:prstGeom prst="rect">
                      <a:avLst/>
                    </a:prstGeom>
                  </pic:spPr>
                </pic:pic>
              </a:graphicData>
            </a:graphic>
          </wp:inline>
        </w:drawing>
      </w:r>
    </w:p>
    <w:p>
      <w:pPr>
        <w:ind w:firstLine="0" w:firstLineChars="0"/>
        <w:jc w:val="center"/>
        <w:rPr>
          <w:highlight w:val="yellow"/>
        </w:rPr>
      </w:pPr>
      <w:r>
        <w:rPr>
          <w:color w:val="000000"/>
          <w:szCs w:val="21"/>
        </w:rPr>
        <w:drawing>
          <wp:inline distT="0" distB="0" distL="0" distR="0">
            <wp:extent cx="4076065" cy="753745"/>
            <wp:effectExtent l="0" t="0" r="635" b="8255"/>
            <wp:docPr id="15" name="图片 15" descr="表格&#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a:picLocks noChangeAspect="true"/>
                    </pic:cNvPicPr>
                  </pic:nvPicPr>
                  <pic:blipFill>
                    <a:blip r:embed="rId23"/>
                    <a:stretch>
                      <a:fillRect/>
                    </a:stretch>
                  </pic:blipFill>
                  <pic:spPr>
                    <a:xfrm>
                      <a:off x="0" y="0"/>
                      <a:ext cx="4076065" cy="75374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图9 某车型头型及腿型试验结果</w:t>
      </w:r>
    </w:p>
    <w:p>
      <w:pPr>
        <w:spacing w:line="300" w:lineRule="auto"/>
        <w:ind w:firstLine="420"/>
        <w:rPr>
          <w:color w:val="000000"/>
          <w:szCs w:val="21"/>
        </w:rPr>
      </w:pPr>
      <w:r>
        <w:rPr>
          <w:color w:val="000000"/>
          <w:szCs w:val="21"/>
        </w:rPr>
        <w:t>20款车型进行行人保护试验，统计结果显示头部测试通过率达95%，腿部测试通过率为90%。部分车型未能通过的测试点，分析原因如下：</w:t>
      </w:r>
    </w:p>
    <w:p>
      <w:pPr>
        <w:spacing w:line="300" w:lineRule="auto"/>
        <w:ind w:firstLine="420"/>
        <w:rPr>
          <w:color w:val="000000"/>
          <w:szCs w:val="21"/>
        </w:rPr>
      </w:pPr>
      <w:r>
        <w:rPr>
          <w:color w:val="000000"/>
          <w:szCs w:val="21"/>
        </w:rPr>
        <w:t>轿车车身相对较低，WAD1000一般位于前缘基准线之后，大灯区域附近普遍不存在硬点，头型测试位于发动机罩中央位置及风窗玻璃位置的结果较好。极少数车型在门铰链、雨刮轴、翼子板支架上方等位置的测试结果出现了超过限值情况，具体见图10，需要产品开发时重点关注上述区域的优化，结构优化后可满足试验要求。</w:t>
      </w:r>
    </w:p>
    <w:p>
      <w:pPr>
        <w:spacing w:line="300" w:lineRule="auto"/>
        <w:ind w:firstLine="0" w:firstLineChars="0"/>
        <w:jc w:val="center"/>
        <w:rPr>
          <w:color w:val="000000"/>
          <w:szCs w:val="21"/>
        </w:rPr>
      </w:pPr>
      <w:r>
        <w:rPr>
          <w:color w:val="000000"/>
          <w:szCs w:val="21"/>
        </w:rPr>
        <w:drawing>
          <wp:inline distT="0" distB="0" distL="0" distR="0">
            <wp:extent cx="1459865" cy="1183005"/>
            <wp:effectExtent l="0" t="0" r="6985" b="17145"/>
            <wp:docPr id="5" name="图片 5" descr="图片包含 室内, 飞机, 绿色, 桌子&#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片包含 室内, 飞机, 绿色, 桌子&#10;&#10;描述已自动生成"/>
                    <pic:cNvPicPr>
                      <a:picLocks noChangeAspect="true"/>
                    </pic:cNvPicPr>
                  </pic:nvPicPr>
                  <pic:blipFill>
                    <a:blip r:embed="rId24" cstate="print">
                      <a:extLst>
                        <a:ext uri="{28A0092B-C50C-407E-A947-70E740481C1C}">
                          <a14:useLocalDpi xmlns:a14="http://schemas.microsoft.com/office/drawing/2010/main" val="false"/>
                        </a:ext>
                      </a:extLst>
                    </a:blip>
                    <a:stretch>
                      <a:fillRect/>
                    </a:stretch>
                  </pic:blipFill>
                  <pic:spPr>
                    <a:xfrm>
                      <a:off x="0" y="0"/>
                      <a:ext cx="1459865" cy="1183005"/>
                    </a:xfrm>
                    <a:prstGeom prst="rect">
                      <a:avLst/>
                    </a:prstGeom>
                  </pic:spPr>
                </pic:pic>
              </a:graphicData>
            </a:graphic>
          </wp:inline>
        </w:drawing>
      </w:r>
      <w:r>
        <w:rPr>
          <w:color w:val="000000"/>
          <w:szCs w:val="21"/>
        </w:rPr>
        <w:drawing>
          <wp:inline distT="0" distB="0" distL="0" distR="0">
            <wp:extent cx="1539240" cy="1200785"/>
            <wp:effectExtent l="0" t="0" r="3810" b="18415"/>
            <wp:docPr id="6" name="图片 6" descr="一辆绿色的车&#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一辆绿色的车&#10;&#10;中度可信度描述已自动生成"/>
                    <pic:cNvPicPr>
                      <a:picLocks noChangeAspect="true"/>
                    </pic:cNvPicPr>
                  </pic:nvPicPr>
                  <pic:blipFill>
                    <a:blip r:embed="rId25" cstate="print">
                      <a:extLst>
                        <a:ext uri="{28A0092B-C50C-407E-A947-70E740481C1C}">
                          <a14:useLocalDpi xmlns:a14="http://schemas.microsoft.com/office/drawing/2010/main" val="false"/>
                        </a:ext>
                      </a:extLst>
                    </a:blip>
                    <a:stretch>
                      <a:fillRect/>
                    </a:stretch>
                  </pic:blipFill>
                  <pic:spPr>
                    <a:xfrm>
                      <a:off x="0" y="0"/>
                      <a:ext cx="1539240" cy="1200785"/>
                    </a:xfrm>
                    <a:prstGeom prst="rect">
                      <a:avLst/>
                    </a:prstGeom>
                  </pic:spPr>
                </pic:pic>
              </a:graphicData>
            </a:graphic>
          </wp:inline>
        </w:drawing>
      </w:r>
      <w:r>
        <w:rPr>
          <w:color w:val="000000"/>
          <w:szCs w:val="21"/>
        </w:rPr>
        <w:drawing>
          <wp:inline distT="0" distB="0" distL="0" distR="0">
            <wp:extent cx="1621790" cy="1216025"/>
            <wp:effectExtent l="0" t="0" r="16510" b="3175"/>
            <wp:docPr id="4" name="图片 4" descr="图片包含 室内, 汽车, 桌子, 电脑&#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图片包含 室内, 汽车, 桌子, 电脑&#10;&#10;描述已自动生成"/>
                    <pic:cNvPicPr>
                      <a:picLocks noChangeAspect="true"/>
                    </pic:cNvPicPr>
                  </pic:nvPicPr>
                  <pic:blipFill>
                    <a:blip r:embed="rId26" cstate="print">
                      <a:extLst>
                        <a:ext uri="{28A0092B-C50C-407E-A947-70E740481C1C}">
                          <a14:useLocalDpi xmlns:a14="http://schemas.microsoft.com/office/drawing/2010/main" val="false"/>
                        </a:ext>
                      </a:extLst>
                    </a:blip>
                    <a:stretch>
                      <a:fillRect/>
                    </a:stretch>
                  </pic:blipFill>
                  <pic:spPr>
                    <a:xfrm>
                      <a:off x="0" y="0"/>
                      <a:ext cx="1621790" cy="121602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图10 头型特殊区域</w:t>
      </w:r>
    </w:p>
    <w:p>
      <w:pPr>
        <w:spacing w:line="300" w:lineRule="auto"/>
        <w:ind w:firstLine="420"/>
        <w:rPr>
          <w:color w:val="000000"/>
          <w:szCs w:val="21"/>
        </w:rPr>
      </w:pPr>
      <w:r>
        <w:rPr>
          <w:color w:val="000000"/>
          <w:szCs w:val="21"/>
        </w:rPr>
        <w:t>对于腿部测试，当发动机罩前端比较靠后，大腿会以膝部-防撞梁作为支点旋转，若此时小腿还在向前运动，则会出现较大的膝部延伸量指标，研发时综合考虑几个腿部支撑点位的布置上进行设计和调整，结构优化后同样满足试验要求。</w:t>
      </w:r>
    </w:p>
    <w:p>
      <w:pPr>
        <w:spacing w:line="300" w:lineRule="auto"/>
        <w:ind w:firstLine="0" w:firstLineChars="0"/>
        <w:jc w:val="center"/>
        <w:rPr>
          <w:color w:val="000000"/>
          <w:szCs w:val="21"/>
        </w:rPr>
      </w:pPr>
      <w:r>
        <w:rPr>
          <w:color w:val="000000"/>
          <w:szCs w:val="21"/>
        </w:rPr>
        <w:drawing>
          <wp:inline distT="0" distB="0" distL="0" distR="0">
            <wp:extent cx="3351530" cy="2035175"/>
            <wp:effectExtent l="0" t="0" r="1270" b="3175"/>
            <wp:docPr id="2" name="图片 2" descr="图示&#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示&#10;&#10;中度可信度描述已自动生成"/>
                    <pic:cNvPicPr>
                      <a:picLocks noChangeAspect="true"/>
                    </pic:cNvPicPr>
                  </pic:nvPicPr>
                  <pic:blipFill>
                    <a:blip r:embed="rId27" cstate="print">
                      <a:extLst>
                        <a:ext uri="{28A0092B-C50C-407E-A947-70E740481C1C}">
                          <a14:useLocalDpi xmlns:a14="http://schemas.microsoft.com/office/drawing/2010/main" val="false"/>
                        </a:ext>
                      </a:extLst>
                    </a:blip>
                    <a:stretch>
                      <a:fillRect/>
                    </a:stretch>
                  </pic:blipFill>
                  <pic:spPr>
                    <a:xfrm>
                      <a:off x="0" y="0"/>
                      <a:ext cx="3392583" cy="2060628"/>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图11 腿型试验特殊区域</w:t>
      </w:r>
    </w:p>
    <w:p>
      <w:pPr>
        <w:spacing w:line="300" w:lineRule="auto"/>
        <w:ind w:firstLine="0" w:firstLineChars="0"/>
        <w:jc w:val="center"/>
        <w:rPr>
          <w:color w:val="000000"/>
          <w:szCs w:val="21"/>
        </w:rPr>
      </w:pPr>
    </w:p>
    <w:p>
      <w:pPr>
        <w:rPr>
          <w:color w:val="000000"/>
          <w:sz w:val="21"/>
          <w:szCs w:val="21"/>
        </w:rPr>
      </w:pPr>
      <w:r>
        <w:rPr>
          <w:color w:val="000000"/>
          <w:sz w:val="21"/>
          <w:szCs w:val="21"/>
        </w:rPr>
        <w:t>（2）SUV车型验证试验</w:t>
      </w:r>
    </w:p>
    <w:p>
      <w:pPr>
        <w:spacing w:line="300" w:lineRule="auto"/>
        <w:ind w:firstLine="420"/>
        <w:rPr>
          <w:color w:val="000000"/>
          <w:sz w:val="21"/>
          <w:szCs w:val="21"/>
        </w:rPr>
      </w:pPr>
      <w:r>
        <w:rPr>
          <w:color w:val="000000"/>
          <w:sz w:val="21"/>
          <w:szCs w:val="21"/>
        </w:rPr>
        <w:t>工作组组织完成28款国内主流品牌SUV车型的行人保护验证试验，其中欧美系合资品牌车型5款，日韩系合资品牌车型3款，自主品牌20款。其中自主品牌企业有东风风行、一汽奔腾、北汽新能源、广汽传祺、东南汽车、蔚来汽车、五菱宝骏等品牌。车型整备质量从1490kg至2290kg，覆盖了各类紧凑型SUV和中大型SUV车型。</w:t>
      </w:r>
    </w:p>
    <w:p>
      <w:pPr>
        <w:spacing w:line="300" w:lineRule="auto"/>
        <w:ind w:firstLine="420"/>
        <w:rPr>
          <w:color w:val="000000"/>
          <w:sz w:val="21"/>
          <w:szCs w:val="21"/>
        </w:rPr>
      </w:pPr>
      <w:r>
        <w:rPr>
          <w:color w:val="000000"/>
          <w:sz w:val="21"/>
          <w:szCs w:val="21"/>
        </w:rPr>
        <w:t>车辆的正常行驶高度与其设计高度偏差均在20mm以内，符合调整至设计高度的要求。通过对试验区域标记，确定了发动机罩上部头型测试区域和风窗玻璃头型测试区域，施划了A、B区的分界线。</w:t>
      </w:r>
    </w:p>
    <w:p>
      <w:pPr>
        <w:spacing w:line="240" w:lineRule="auto"/>
        <w:ind w:firstLine="0"/>
        <w:rPr>
          <w:color w:val="000000"/>
          <w:sz w:val="21"/>
          <w:szCs w:val="21"/>
        </w:rPr>
      </w:pPr>
      <w:r>
        <w:rPr>
          <w:color w:val="000000"/>
          <w:sz w:val="21"/>
          <w:szCs w:val="21"/>
        </w:rPr>
        <w:t>腿型测试，保险杠下部基准线全部低于500mm，试验验证参与企业全部采用了柔性腿型进行测试。关键参数防撞梁宽度处于1100到1440mm之间，而保险杠角边界最大值为1470mm。</w:t>
      </w:r>
    </w:p>
    <w:p>
      <w:pPr>
        <w:spacing w:line="240" w:lineRule="auto"/>
        <w:ind w:firstLine="0"/>
        <w:rPr>
          <w:color w:val="000000"/>
          <w:sz w:val="21"/>
          <w:szCs w:val="21"/>
        </w:rPr>
      </w:pPr>
      <w:r>
        <w:rPr>
          <w:color w:val="000000"/>
          <w:sz w:val="21"/>
          <w:szCs w:val="21"/>
        </w:rPr>
        <w:t>某新能源企业车型，选取了损伤最大的12个碰撞点进行测试，其中A区8个，B区4个。除CH10之外，全部头型测试结果HIC15均小于1000，而CH10位于B区内，HIC15小于1700。风窗玻璃测试区域未出现非典型破碎情况，所有HIC15均小于650，头型测试结果全部符合标准要求。腿型测试点选择了拖车钩、牌照板尖角和大灯尖角三个位置，三次试验小腿弯矩均小于340N.m，MCL韧带延伸量小于22mm，ACL和PCL韧带延伸量小于13mm，符合标准要求，具体试验结果见图12。</w:t>
      </w:r>
    </w:p>
    <w:p>
      <w:pPr>
        <w:spacing w:line="300" w:lineRule="auto"/>
        <w:ind w:firstLine="0" w:firstLineChars="0"/>
        <w:jc w:val="center"/>
        <w:rPr>
          <w:color w:val="000000"/>
          <w:szCs w:val="21"/>
        </w:rPr>
      </w:pPr>
      <w:r>
        <w:rPr>
          <w:color w:val="000000"/>
          <w:szCs w:val="21"/>
        </w:rPr>
        <w:drawing>
          <wp:inline distT="0" distB="0" distL="0" distR="0">
            <wp:extent cx="4474210" cy="2388235"/>
            <wp:effectExtent l="0" t="0" r="2540" b="12065"/>
            <wp:docPr id="20" name="图片 20" descr="图形用户界面, 应用程序, 表格&#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 表格&#10;&#10;描述已自动生成"/>
                    <pic:cNvPicPr>
                      <a:picLocks noChangeAspect="true"/>
                    </pic:cNvPicPr>
                  </pic:nvPicPr>
                  <pic:blipFill>
                    <a:blip r:embed="rId28"/>
                    <a:stretch>
                      <a:fillRect/>
                    </a:stretch>
                  </pic:blipFill>
                  <pic:spPr>
                    <a:xfrm>
                      <a:off x="0" y="0"/>
                      <a:ext cx="4474210" cy="238823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drawing>
          <wp:inline distT="0" distB="0" distL="0" distR="0">
            <wp:extent cx="4377055" cy="818515"/>
            <wp:effectExtent l="0" t="0" r="4445" b="635"/>
            <wp:docPr id="19" name="图片 19" descr="表格&#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表格&#10;&#10;描述已自动生成"/>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4377055" cy="81851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图12 某新能源企业SUV车型试验结果</w:t>
      </w:r>
    </w:p>
    <w:p>
      <w:pPr>
        <w:spacing w:line="240" w:lineRule="auto"/>
        <w:ind w:firstLine="0"/>
        <w:rPr>
          <w:color w:val="000000"/>
          <w:sz w:val="21"/>
          <w:szCs w:val="21"/>
        </w:rPr>
      </w:pPr>
      <w:r>
        <w:rPr>
          <w:color w:val="000000"/>
          <w:sz w:val="21"/>
          <w:szCs w:val="21"/>
        </w:rPr>
        <w:t>28款SUV车型进行验证测试，头部测试通过率达90%，腿部测试通过率为96%；部分未能通过的测试点，分析原因如下：</w:t>
      </w:r>
    </w:p>
    <w:p>
      <w:pPr>
        <w:spacing w:line="240" w:lineRule="auto"/>
        <w:ind w:firstLine="0"/>
        <w:rPr>
          <w:color w:val="000000"/>
          <w:sz w:val="21"/>
          <w:szCs w:val="21"/>
        </w:rPr>
      </w:pPr>
      <w:r>
        <w:rPr>
          <w:color w:val="000000"/>
          <w:sz w:val="21"/>
          <w:szCs w:val="21"/>
        </w:rPr>
        <w:t>SUV相对轿车而言，增加大灯区域的危险点出现的概率，但发动机舱内的空间充足，只要对大灯支架增加可压溃的性能（特殊区域见图13），便可较好的解决这一问题。从腿型验证测试结果分析，上中下支撑对于腿部的保护比较合理。</w:t>
      </w:r>
    </w:p>
    <w:p>
      <w:pPr>
        <w:spacing w:line="300" w:lineRule="auto"/>
        <w:ind w:firstLine="0" w:firstLineChars="0"/>
        <w:jc w:val="center"/>
        <w:rPr>
          <w:color w:val="000000"/>
          <w:szCs w:val="21"/>
        </w:rPr>
      </w:pPr>
      <w:r>
        <w:rPr>
          <w:color w:val="000000"/>
          <w:szCs w:val="21"/>
        </w:rPr>
        <w:drawing>
          <wp:inline distT="0" distB="0" distL="0" distR="0">
            <wp:extent cx="1384935" cy="1215390"/>
            <wp:effectExtent l="0" t="0" r="5715" b="3810"/>
            <wp:docPr id="21" name="图片 21" descr="图片包含 室内, 桌子, 男人, 绿色&#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图片包含 室内, 桌子, 男人, 绿色&#10;&#10;描述已自动生成"/>
                    <pic:cNvPicPr>
                      <a:picLocks noChangeAspect="true"/>
                    </pic:cNvPicPr>
                  </pic:nvPicPr>
                  <pic:blipFill>
                    <a:blip r:embed="rId30" cstate="print">
                      <a:extLst>
                        <a:ext uri="{28A0092B-C50C-407E-A947-70E740481C1C}">
                          <a14:useLocalDpi xmlns:a14="http://schemas.microsoft.com/office/drawing/2010/main" val="false"/>
                        </a:ext>
                      </a:extLst>
                    </a:blip>
                    <a:srcRect l="7422"/>
                    <a:stretch>
                      <a:fillRect/>
                    </a:stretch>
                  </pic:blipFill>
                  <pic:spPr>
                    <a:xfrm>
                      <a:off x="0" y="0"/>
                      <a:ext cx="1384935" cy="1215390"/>
                    </a:xfrm>
                    <a:prstGeom prst="rect">
                      <a:avLst/>
                    </a:prstGeom>
                    <a:ln>
                      <a:noFill/>
                    </a:ln>
                  </pic:spPr>
                </pic:pic>
              </a:graphicData>
            </a:graphic>
          </wp:inline>
        </w:drawing>
      </w:r>
      <w:r>
        <w:rPr>
          <w:color w:val="000000"/>
          <w:szCs w:val="21"/>
        </w:rPr>
        <w:t xml:space="preserve"> </w:t>
      </w:r>
      <w:r>
        <w:rPr>
          <w:color w:val="000000"/>
          <w:szCs w:val="21"/>
        </w:rPr>
        <w:drawing>
          <wp:inline distT="0" distB="0" distL="0" distR="0">
            <wp:extent cx="1344295" cy="1226185"/>
            <wp:effectExtent l="0" t="0" r="8255" b="12065"/>
            <wp:docPr id="22" name="图片 22" descr="图片包含 室内, 桌子, 绿色, 房间&#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包含 室内, 桌子, 绿色, 房间&#10;&#10;描述已自动生成"/>
                    <pic:cNvPicPr>
                      <a:picLocks noChangeAspect="true"/>
                    </pic:cNvPicPr>
                  </pic:nvPicPr>
                  <pic:blipFill>
                    <a:blip r:embed="rId31" cstate="print">
                      <a:extLst>
                        <a:ext uri="{28A0092B-C50C-407E-A947-70E740481C1C}">
                          <a14:useLocalDpi xmlns:a14="http://schemas.microsoft.com/office/drawing/2010/main" val="false"/>
                        </a:ext>
                      </a:extLst>
                    </a:blip>
                    <a:stretch>
                      <a:fillRect/>
                    </a:stretch>
                  </pic:blipFill>
                  <pic:spPr>
                    <a:xfrm>
                      <a:off x="0" y="0"/>
                      <a:ext cx="1344295" cy="1226185"/>
                    </a:xfrm>
                    <a:prstGeom prst="rect">
                      <a:avLst/>
                    </a:prstGeom>
                  </pic:spPr>
                </pic:pic>
              </a:graphicData>
            </a:graphic>
          </wp:inline>
        </w:drawing>
      </w:r>
      <w:r>
        <w:rPr>
          <w:color w:val="000000"/>
          <w:szCs w:val="21"/>
        </w:rPr>
        <w:drawing>
          <wp:inline distT="0" distB="0" distL="0" distR="0">
            <wp:extent cx="1372870" cy="1211580"/>
            <wp:effectExtent l="0" t="0" r="17780" b="7620"/>
            <wp:docPr id="10" name="图片 10" descr="图片包含 室内, 器具, 厨房, 桌子&#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片包含 室内, 器具, 厨房, 桌子&#10;&#10;描述已自动生成"/>
                    <pic:cNvPicPr>
                      <a:picLocks noChangeAspect="true"/>
                    </pic:cNvPicPr>
                  </pic:nvPicPr>
                  <pic:blipFill>
                    <a:blip r:embed="rId32" cstate="print">
                      <a:extLst>
                        <a:ext uri="{28A0092B-C50C-407E-A947-70E740481C1C}">
                          <a14:useLocalDpi xmlns:a14="http://schemas.microsoft.com/office/drawing/2010/main" val="false"/>
                        </a:ext>
                      </a:extLst>
                    </a:blip>
                    <a:srcRect l="10850" r="13559"/>
                    <a:stretch>
                      <a:fillRect/>
                    </a:stretch>
                  </pic:blipFill>
                  <pic:spPr>
                    <a:xfrm>
                      <a:off x="0" y="0"/>
                      <a:ext cx="1372870" cy="1211580"/>
                    </a:xfrm>
                    <a:prstGeom prst="rect">
                      <a:avLst/>
                    </a:prstGeom>
                    <a:ln>
                      <a:noFill/>
                    </a:ln>
                  </pic:spPr>
                </pic:pic>
              </a:graphicData>
            </a:graphic>
          </wp:inline>
        </w:drawing>
      </w:r>
    </w:p>
    <w:p>
      <w:pPr>
        <w:spacing w:line="300" w:lineRule="auto"/>
        <w:ind w:firstLine="0" w:firstLineChars="0"/>
        <w:jc w:val="center"/>
        <w:rPr>
          <w:color w:val="000000"/>
          <w:szCs w:val="21"/>
        </w:rPr>
      </w:pPr>
      <w:r>
        <w:rPr>
          <w:color w:val="000000"/>
          <w:szCs w:val="21"/>
        </w:rPr>
        <w:drawing>
          <wp:inline distT="0" distB="0" distL="0" distR="0">
            <wp:extent cx="2891790" cy="1771015"/>
            <wp:effectExtent l="0" t="0" r="3810" b="635"/>
            <wp:docPr id="18" name="图片 18" descr="图示&#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图示&#10;&#10;中度可信度描述已自动生成"/>
                    <pic:cNvPicPr>
                      <a:picLocks noChangeAspect="true"/>
                    </pic:cNvPicPr>
                  </pic:nvPicPr>
                  <pic:blipFill>
                    <a:blip r:embed="rId33" cstate="print">
                      <a:extLst>
                        <a:ext uri="{28A0092B-C50C-407E-A947-70E740481C1C}">
                          <a14:useLocalDpi xmlns:a14="http://schemas.microsoft.com/office/drawing/2010/main" val="false"/>
                        </a:ext>
                      </a:extLst>
                    </a:blip>
                    <a:stretch>
                      <a:fillRect/>
                    </a:stretch>
                  </pic:blipFill>
                  <pic:spPr>
                    <a:xfrm>
                      <a:off x="0" y="0"/>
                      <a:ext cx="2891790" cy="177101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图13 SUV车型试验特殊区域</w:t>
      </w:r>
    </w:p>
    <w:p>
      <w:pPr>
        <w:pStyle w:val="20"/>
        <w:spacing w:line="300" w:lineRule="auto"/>
        <w:ind w:firstLine="440"/>
        <w:rPr>
          <w:color w:val="000000"/>
          <w:sz w:val="22"/>
          <w:szCs w:val="22"/>
        </w:rPr>
      </w:pPr>
    </w:p>
    <w:p>
      <w:pPr>
        <w:spacing w:line="240" w:lineRule="auto"/>
        <w:ind w:firstLine="0"/>
        <w:rPr>
          <w:color w:val="000000"/>
          <w:sz w:val="21"/>
          <w:szCs w:val="21"/>
        </w:rPr>
      </w:pPr>
      <w:r>
        <w:rPr>
          <w:color w:val="000000"/>
          <w:sz w:val="21"/>
          <w:szCs w:val="21"/>
        </w:rPr>
        <w:t>（3）MPV车型验证试验</w:t>
      </w:r>
    </w:p>
    <w:p>
      <w:pPr>
        <w:spacing w:line="240" w:lineRule="auto"/>
        <w:ind w:firstLine="0"/>
        <w:rPr>
          <w:color w:val="000000"/>
          <w:szCs w:val="21"/>
        </w:rPr>
      </w:pPr>
      <w:r>
        <w:rPr>
          <w:color w:val="000000"/>
          <w:sz w:val="21"/>
          <w:szCs w:val="21"/>
        </w:rPr>
        <w:t>工作组组织完成3款国内主流品牌MPV车型的行人保护验证试验，3款MPV车型所有测试的硬点均未出现HIC</w:t>
      </w:r>
      <w:r>
        <w:rPr>
          <w:color w:val="000000"/>
          <w:sz w:val="21"/>
          <w:szCs w:val="21"/>
          <w:vertAlign w:val="baseline"/>
        </w:rPr>
        <w:t>15</w:t>
      </w:r>
      <w:r>
        <w:rPr>
          <w:color w:val="000000"/>
          <w:sz w:val="21"/>
          <w:szCs w:val="21"/>
        </w:rPr>
        <w:t>超过1000的情况，腿部支撑结构接近于SUV，也表现出较好的结果，某车型选点及头型试验结果见图14。</w:t>
      </w:r>
    </w:p>
    <w:p>
      <w:pPr>
        <w:spacing w:line="300" w:lineRule="auto"/>
        <w:ind w:firstLine="0" w:firstLineChars="0"/>
        <w:jc w:val="center"/>
        <w:rPr>
          <w:color w:val="000000"/>
          <w:szCs w:val="21"/>
        </w:rPr>
      </w:pPr>
      <w:r>
        <w:rPr>
          <w:color w:val="000000"/>
          <w:szCs w:val="21"/>
        </w:rPr>
        <w:drawing>
          <wp:inline distT="0" distB="0" distL="0" distR="0">
            <wp:extent cx="1998980" cy="1491615"/>
            <wp:effectExtent l="0" t="0" r="1270" b="13335"/>
            <wp:docPr id="16" name="图片 16" descr="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a:picLocks noChangeAspect="true"/>
                    </pic:cNvPicPr>
                  </pic:nvPicPr>
                  <pic:blipFill>
                    <a:blip r:embed="rId34" cstate="print">
                      <a:extLst>
                        <a:ext uri="{28A0092B-C50C-407E-A947-70E740481C1C}">
                          <a14:useLocalDpi xmlns:a14="http://schemas.microsoft.com/office/drawing/2010/main" val="false"/>
                        </a:ext>
                      </a:extLst>
                    </a:blip>
                    <a:stretch>
                      <a:fillRect/>
                    </a:stretch>
                  </pic:blipFill>
                  <pic:spPr>
                    <a:xfrm>
                      <a:off x="0" y="0"/>
                      <a:ext cx="1998980" cy="1491615"/>
                    </a:xfrm>
                    <a:prstGeom prst="rect">
                      <a:avLst/>
                    </a:prstGeom>
                  </pic:spPr>
                </pic:pic>
              </a:graphicData>
            </a:graphic>
          </wp:inline>
        </w:drawing>
      </w:r>
      <w:r>
        <w:rPr>
          <w:color w:val="000000"/>
          <w:szCs w:val="21"/>
        </w:rPr>
        <w:drawing>
          <wp:inline distT="0" distB="0" distL="0" distR="0">
            <wp:extent cx="2451100" cy="1526540"/>
            <wp:effectExtent l="0" t="0" r="6350" b="16510"/>
            <wp:docPr id="26" name="图片 26" descr="表格&#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表格&#10;&#10;描述已自动生成"/>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2451100" cy="1526540"/>
                    </a:xfrm>
                    <a:prstGeom prst="rect">
                      <a:avLst/>
                    </a:prstGeom>
                  </pic:spPr>
                </pic:pic>
              </a:graphicData>
            </a:graphic>
          </wp:inline>
        </w:drawing>
      </w:r>
    </w:p>
    <w:p>
      <w:pPr>
        <w:spacing w:line="300" w:lineRule="auto"/>
        <w:ind w:firstLine="0" w:firstLineChars="0"/>
        <w:jc w:val="center"/>
        <w:rPr>
          <w:color w:val="000000"/>
          <w:szCs w:val="21"/>
          <w:highlight w:val="yellow"/>
        </w:rPr>
      </w:pPr>
      <w:r>
        <w:rPr>
          <w:color w:val="000000"/>
          <w:szCs w:val="21"/>
        </w:rPr>
        <w:t>图14 某款MPV车型试验结果</w:t>
      </w:r>
    </w:p>
    <w:p>
      <w:pPr>
        <w:spacing w:line="240" w:lineRule="auto"/>
        <w:ind w:firstLine="0"/>
        <w:rPr>
          <w:color w:val="000000"/>
          <w:sz w:val="21"/>
          <w:szCs w:val="21"/>
        </w:rPr>
      </w:pPr>
    </w:p>
    <w:p>
      <w:pPr>
        <w:numPr>
          <w:ilvl w:val="0"/>
          <w:numId w:val="3"/>
        </w:numPr>
        <w:spacing w:line="240" w:lineRule="auto"/>
        <w:ind w:firstLine="0"/>
        <w:rPr>
          <w:color w:val="000000"/>
          <w:sz w:val="21"/>
          <w:szCs w:val="21"/>
        </w:rPr>
      </w:pPr>
      <w:r>
        <w:rPr>
          <w:color w:val="000000"/>
          <w:sz w:val="21"/>
          <w:szCs w:val="21"/>
        </w:rPr>
        <w:t>多用途面包车验证</w:t>
      </w:r>
    </w:p>
    <w:p>
      <w:pPr>
        <w:spacing w:line="240" w:lineRule="auto"/>
        <w:ind w:firstLine="0"/>
        <w:rPr>
          <w:color w:val="000000"/>
          <w:szCs w:val="21"/>
        </w:rPr>
      </w:pPr>
      <w:r>
        <w:rPr>
          <w:color w:val="000000"/>
          <w:szCs w:val="21"/>
        </w:rPr>
        <w:t>标准适应范围的N</w:t>
      </w:r>
      <w:r>
        <w:rPr>
          <w:color w:val="000000"/>
          <w:szCs w:val="21"/>
          <w:vertAlign w:val="baseline"/>
        </w:rPr>
        <w:t>1</w:t>
      </w:r>
      <w:r>
        <w:rPr>
          <w:color w:val="000000"/>
          <w:szCs w:val="21"/>
        </w:rPr>
        <w:t>类车型与多用途面包车的前端结构具有相近的行人保护性能，工作组选取典型的多用途面包车开展验证试验。2021年1月至5月，工作组开展了对重庆长安汽车股份有限公司、东风小康汽车有限公司、上汽通用五菱汽车股份有限公司和上汽大通汽车有限公司四家企业的多用途面包车的行人保护验证试验，主要结果见图15和图16 ，结果表明：——现阶段多用途面包车的设计结构中，铰链和雨刮轴位置属于头部损伤风险区，存在部分HIC超过1700的情况，结构优化后可满足标准要求；</w:t>
      </w:r>
    </w:p>
    <w:p>
      <w:pPr>
        <w:spacing w:line="240" w:lineRule="auto"/>
        <w:ind w:firstLine="0"/>
        <w:rPr>
          <w:rFonts w:hint="eastAsia"/>
          <w:color w:val="000000"/>
          <w:szCs w:val="21"/>
        </w:rPr>
      </w:pPr>
      <w:r>
        <w:rPr>
          <w:rFonts w:hint="eastAsia"/>
          <w:color w:val="000000"/>
          <w:szCs w:val="21"/>
        </w:rPr>
        <w:t>——发动机罩刚度较大，大部分区域HIC在1000左右，需对相应硬点弱化处理，改善发动机罩刚度，优化后可满足标准要求；</w:t>
      </w:r>
    </w:p>
    <w:p>
      <w:pPr>
        <w:spacing w:line="240" w:lineRule="auto"/>
        <w:ind w:firstLine="0"/>
        <w:rPr>
          <w:color w:val="000000"/>
          <w:szCs w:val="21"/>
        </w:rPr>
      </w:pPr>
      <w:r>
        <w:rPr>
          <w:rFonts w:hint="eastAsia"/>
          <w:color w:val="000000"/>
          <w:szCs w:val="21"/>
        </w:rPr>
        <w:t>——基本满足柔性腿型撞击试验要求，但拖车钩位置以及车辆中央位置属于风险点，需要进一步改进。</w:t>
      </w:r>
    </w:p>
    <w:p>
      <w:pPr>
        <w:spacing w:line="240" w:lineRule="auto"/>
        <w:ind w:left="0" w:leftChars="0" w:firstLine="0" w:firstLineChars="0"/>
        <w:rPr>
          <w:color w:val="000000"/>
          <w:szCs w:val="21"/>
        </w:rPr>
      </w:pPr>
    </w:p>
    <w:p>
      <w:pPr>
        <w:spacing w:line="300" w:lineRule="auto"/>
        <w:ind w:left="420" w:leftChars="200" w:firstLine="0" w:firstLineChars="0"/>
        <w:jc w:val="center"/>
        <w:rPr>
          <w:color w:val="000000"/>
          <w:szCs w:val="21"/>
        </w:rPr>
      </w:pPr>
      <w:r>
        <mc:AlternateContent>
          <mc:Choice Requires="wps">
            <w:drawing>
              <wp:anchor distT="0" distB="0" distL="114300" distR="114300" simplePos="0" relativeHeight="251659264" behindDoc="0" locked="0" layoutInCell="1" allowOverlap="1">
                <wp:simplePos x="0" y="0"/>
                <wp:positionH relativeFrom="column">
                  <wp:posOffset>3395980</wp:posOffset>
                </wp:positionH>
                <wp:positionV relativeFrom="paragraph">
                  <wp:posOffset>575310</wp:posOffset>
                </wp:positionV>
                <wp:extent cx="374015" cy="149225"/>
                <wp:effectExtent l="4445" t="4445" r="21590" b="17780"/>
                <wp:wrapNone/>
                <wp:docPr id="14" name="文本框 14"/>
                <wp:cNvGraphicFramePr/>
                <a:graphic xmlns:a="http://schemas.openxmlformats.org/drawingml/2006/main">
                  <a:graphicData uri="http://schemas.microsoft.com/office/word/2010/wordprocessingShape">
                    <wps:wsp>
                      <wps:cNvSpPr txBox="true"/>
                      <wps:spPr>
                        <a:xfrm>
                          <a:off x="3650615" y="6963410"/>
                          <a:ext cx="374015" cy="149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7.4pt;margin-top:45.3pt;height:11.75pt;width:29.45pt;z-index:251659264;mso-width-relative:page;mso-height-relative:page;" fillcolor="#FFFFFF [3201]" filled="t" stroked="t" coordsize="21600,21600" o:gfxdata="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IFcsB1wAAAAoBAAAPAAAAAAAAAAEAIAAAADgAAABkcnMvZG93bnJldi54bWxQSwECFAAU&#10;AAAACACHTuJAdv3pb04CAACIBAAADgAAAAAAAAABACAAAAA8AQAAZHJzL2Uyb0RvYy54bWxQSwUG&#10;AAAAAAYABgBZAQAA/AUAAAAA&#10;">
                <v:fill on="t" focussize="0,0"/>
                <v:stroke weight="0.5pt" color="#000000 [3204]" joinstyle="round"/>
                <v:imagedata o:title=""/>
                <o:lock v:ext="edit" aspectratio="f"/>
                <v:textbox>
                  <w:txbxContent>
                    <w:p>
                      <w:pPr>
                        <w:ind w:firstLine="420"/>
                      </w:pPr>
                    </w:p>
                  </w:txbxContent>
                </v:textbox>
              </v:shape>
            </w:pict>
          </mc:Fallback>
        </mc:AlternateContent>
      </w:r>
      <w:r>
        <w:rPr>
          <w:color w:val="000000"/>
          <w:szCs w:val="21"/>
        </w:rPr>
        <w:drawing>
          <wp:inline distT="0" distB="0" distL="114300" distR="114300">
            <wp:extent cx="1724660" cy="1177290"/>
            <wp:effectExtent l="0" t="0" r="8890" b="3810"/>
            <wp:docPr id="24" name="图片 24" descr="DSC_00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DSC_0007"/>
                    <pic:cNvPicPr>
                      <a:picLocks noChangeAspect="true"/>
                    </pic:cNvPicPr>
                  </pic:nvPicPr>
                  <pic:blipFill>
                    <a:blip r:embed="rId36"/>
                    <a:srcRect r="473" b="26286"/>
                    <a:stretch>
                      <a:fillRect/>
                    </a:stretch>
                  </pic:blipFill>
                  <pic:spPr>
                    <a:xfrm>
                      <a:off x="0" y="0"/>
                      <a:ext cx="1724660" cy="1177290"/>
                    </a:xfrm>
                    <a:prstGeom prst="rect">
                      <a:avLst/>
                    </a:prstGeom>
                  </pic:spPr>
                </pic:pic>
              </a:graphicData>
            </a:graphic>
          </wp:inline>
        </w:drawing>
      </w:r>
      <w:r>
        <w:rPr>
          <w:color w:val="000000"/>
          <w:szCs w:val="21"/>
        </w:rPr>
        <w:drawing>
          <wp:inline distT="0" distB="0" distL="114300" distR="114300">
            <wp:extent cx="1755140" cy="1172845"/>
            <wp:effectExtent l="0" t="0" r="16510" b="8255"/>
            <wp:docPr id="36" name="图片 36" descr="DSC_01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DSC_0176"/>
                    <pic:cNvPicPr>
                      <a:picLocks noChangeAspect="true"/>
                    </pic:cNvPicPr>
                  </pic:nvPicPr>
                  <pic:blipFill>
                    <a:blip r:embed="rId37"/>
                    <a:stretch>
                      <a:fillRect/>
                    </a:stretch>
                  </pic:blipFill>
                  <pic:spPr>
                    <a:xfrm>
                      <a:off x="0" y="0"/>
                      <a:ext cx="1755140" cy="1172845"/>
                    </a:xfrm>
                    <a:prstGeom prst="rect">
                      <a:avLst/>
                    </a:prstGeom>
                  </pic:spPr>
                </pic:pic>
              </a:graphicData>
            </a:graphic>
          </wp:inline>
        </w:drawing>
      </w:r>
    </w:p>
    <w:p>
      <w:pPr>
        <w:spacing w:line="300" w:lineRule="auto"/>
        <w:ind w:left="420" w:leftChars="200" w:firstLine="0" w:firstLineChars="0"/>
        <w:jc w:val="center"/>
        <w:rPr>
          <w:color w:val="000000"/>
          <w:szCs w:val="21"/>
        </w:rPr>
      </w:pPr>
    </w:p>
    <w:p>
      <w:pPr>
        <w:spacing w:line="300" w:lineRule="auto"/>
        <w:ind w:left="420" w:leftChars="200" w:firstLine="0" w:firstLineChars="0"/>
        <w:jc w:val="center"/>
        <w:rPr>
          <w:color w:val="000000"/>
          <w:szCs w:val="21"/>
        </w:rPr>
      </w:pPr>
      <w:r>
        <w:rPr>
          <w:color w:val="000000"/>
          <w:szCs w:val="21"/>
        </w:rPr>
        <w:t>图15 某多用途面包车试验划线情况</w:t>
      </w:r>
    </w:p>
    <w:p>
      <w:pPr>
        <w:spacing w:line="300" w:lineRule="auto"/>
        <w:ind w:left="420" w:leftChars="200" w:firstLine="0" w:firstLineChars="0"/>
        <w:jc w:val="center"/>
        <w:rPr>
          <w:color w:val="000000"/>
          <w:szCs w:val="21"/>
        </w:rPr>
      </w:pPr>
      <w:r>
        <w:rPr>
          <w:color w:val="000000"/>
          <w:szCs w:val="21"/>
        </w:rPr>
        <w:drawing>
          <wp:inline distT="0" distB="0" distL="0" distR="0">
            <wp:extent cx="1026160" cy="1756410"/>
            <wp:effectExtent l="0" t="0" r="2540" b="1524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38"/>
                    <a:stretch>
                      <a:fillRect/>
                    </a:stretch>
                  </pic:blipFill>
                  <pic:spPr>
                    <a:xfrm>
                      <a:off x="0" y="0"/>
                      <a:ext cx="1026160" cy="1756410"/>
                    </a:xfrm>
                    <a:prstGeom prst="rect">
                      <a:avLst/>
                    </a:prstGeom>
                  </pic:spPr>
                </pic:pic>
              </a:graphicData>
            </a:graphic>
          </wp:inline>
        </w:drawing>
      </w:r>
      <w:r>
        <w:rPr>
          <w:color w:val="000000"/>
          <w:szCs w:val="21"/>
        </w:rPr>
        <w:drawing>
          <wp:inline distT="0" distB="0" distL="0" distR="0">
            <wp:extent cx="989965" cy="1758950"/>
            <wp:effectExtent l="0" t="0" r="635" b="1270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39"/>
                    <a:stretch>
                      <a:fillRect/>
                    </a:stretch>
                  </pic:blipFill>
                  <pic:spPr>
                    <a:xfrm>
                      <a:off x="0" y="0"/>
                      <a:ext cx="989965" cy="1758950"/>
                    </a:xfrm>
                    <a:prstGeom prst="rect">
                      <a:avLst/>
                    </a:prstGeom>
                  </pic:spPr>
                </pic:pic>
              </a:graphicData>
            </a:graphic>
          </wp:inline>
        </w:drawing>
      </w:r>
      <w:r>
        <w:rPr>
          <w:color w:val="000000"/>
          <w:szCs w:val="21"/>
        </w:rPr>
        <w:drawing>
          <wp:inline distT="0" distB="0" distL="0" distR="0">
            <wp:extent cx="1035050" cy="1755775"/>
            <wp:effectExtent l="0" t="0" r="12700" b="1587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40"/>
                    <a:stretch>
                      <a:fillRect/>
                    </a:stretch>
                  </pic:blipFill>
                  <pic:spPr>
                    <a:xfrm>
                      <a:off x="0" y="0"/>
                      <a:ext cx="1035050" cy="1755775"/>
                    </a:xfrm>
                    <a:prstGeom prst="rect">
                      <a:avLst/>
                    </a:prstGeom>
                  </pic:spPr>
                </pic:pic>
              </a:graphicData>
            </a:graphic>
          </wp:inline>
        </w:drawing>
      </w:r>
      <w:r>
        <w:rPr>
          <w:color w:val="000000"/>
          <w:szCs w:val="21"/>
        </w:rPr>
        <w:drawing>
          <wp:inline distT="0" distB="0" distL="0" distR="0">
            <wp:extent cx="981075" cy="1741805"/>
            <wp:effectExtent l="0" t="0" r="9525" b="10795"/>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41"/>
                    <a:stretch>
                      <a:fillRect/>
                    </a:stretch>
                  </pic:blipFill>
                  <pic:spPr>
                    <a:xfrm>
                      <a:off x="0" y="0"/>
                      <a:ext cx="981075" cy="1741805"/>
                    </a:xfrm>
                    <a:prstGeom prst="rect">
                      <a:avLst/>
                    </a:prstGeom>
                  </pic:spPr>
                </pic:pic>
              </a:graphicData>
            </a:graphic>
          </wp:inline>
        </w:drawing>
      </w:r>
      <w:r>
        <w:rPr>
          <w:color w:val="000000"/>
          <w:szCs w:val="21"/>
        </w:rPr>
        <w:drawing>
          <wp:inline distT="0" distB="0" distL="0" distR="0">
            <wp:extent cx="856615" cy="513715"/>
            <wp:effectExtent l="0" t="0" r="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42"/>
                    <a:stretch>
                      <a:fillRect/>
                    </a:stretch>
                  </pic:blipFill>
                  <pic:spPr>
                    <a:xfrm>
                      <a:off x="0" y="0"/>
                      <a:ext cx="898792" cy="53927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drawing>
          <wp:inline distT="0" distB="0" distL="0" distR="0">
            <wp:extent cx="3651885" cy="2051685"/>
            <wp:effectExtent l="0" t="0" r="5715" b="5715"/>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43"/>
                    <a:stretch>
                      <a:fillRect/>
                    </a:stretch>
                  </pic:blipFill>
                  <pic:spPr>
                    <a:xfrm>
                      <a:off x="0" y="0"/>
                      <a:ext cx="3651885" cy="2051685"/>
                    </a:xfrm>
                    <a:prstGeom prst="rect">
                      <a:avLst/>
                    </a:prstGeom>
                  </pic:spPr>
                </pic:pic>
              </a:graphicData>
            </a:graphic>
          </wp:inline>
        </w:drawing>
      </w:r>
    </w:p>
    <w:p>
      <w:pPr>
        <w:spacing w:line="300" w:lineRule="auto"/>
        <w:ind w:left="420" w:leftChars="200" w:firstLine="0" w:firstLineChars="0"/>
        <w:jc w:val="center"/>
        <w:rPr>
          <w:color w:val="000000"/>
          <w:szCs w:val="21"/>
        </w:rPr>
      </w:pPr>
      <w:r>
        <w:rPr>
          <w:color w:val="000000"/>
          <w:szCs w:val="21"/>
        </w:rPr>
        <w:t>图16 多用途面包车试验结果</w:t>
      </w:r>
    </w:p>
    <w:p>
      <w:pPr>
        <w:spacing w:line="300" w:lineRule="auto"/>
        <w:ind w:left="420" w:leftChars="200" w:firstLine="0" w:firstLineChars="0"/>
        <w:jc w:val="left"/>
        <w:rPr>
          <w:color w:val="000000"/>
          <w:szCs w:val="21"/>
        </w:rPr>
      </w:pPr>
      <w:r>
        <w:rPr>
          <w:color w:val="000000"/>
          <w:szCs w:val="21"/>
        </w:rPr>
        <w:t>（5）多用途货车验证</w:t>
      </w:r>
    </w:p>
    <w:p>
      <w:pPr>
        <w:spacing w:line="300" w:lineRule="auto"/>
        <w:ind w:firstLine="420"/>
        <w:jc w:val="left"/>
        <w:rPr>
          <w:color w:val="000000"/>
          <w:szCs w:val="21"/>
        </w:rPr>
      </w:pPr>
      <w:r>
        <w:rPr>
          <w:color w:val="000000"/>
          <w:szCs w:val="21"/>
        </w:rPr>
        <w:t>工作组组织开展了北汽福田、江淮汽车、长城汽车、上汽大通4家企业的4款多用途货车行人保护试验验证，车型涉及1款合资品牌和3款自主品牌车型。以某自主品牌的车型为例，选取了7个发动机罩中央位置和</w:t>
      </w:r>
      <w:bookmarkStart w:id="34" w:name="_GoBack"/>
      <w:bookmarkEnd w:id="34"/>
      <w:r>
        <w:rPr>
          <w:color w:val="000000"/>
          <w:szCs w:val="21"/>
        </w:rPr>
        <w:t>5个边缘位置进行测试，见图17，测试位置均为损伤较大的点。发动机罩中央位置HIC全部小于800，5个边缘位置HIC全部小于1500，风窗玻璃测试区域未出现非典型破碎情况，所有HIC</w:t>
      </w:r>
      <w:r>
        <w:rPr>
          <w:color w:val="000000"/>
          <w:szCs w:val="21"/>
          <w:vertAlign w:val="subscript"/>
        </w:rPr>
        <w:t>15</w:t>
      </w:r>
      <w:r>
        <w:rPr>
          <w:color w:val="000000"/>
          <w:szCs w:val="21"/>
        </w:rPr>
        <w:t>小于650。三分之二的儿童头型测试区域的HIC不大于1000，一半以上的头型测试结果HIC不大于1000，其余剩余区域的HIC不大于1700。综上，头型验证试验结果符合标准要求。</w:t>
      </w:r>
    </w:p>
    <w:p>
      <w:pPr>
        <w:spacing w:line="300" w:lineRule="auto"/>
        <w:ind w:left="420" w:leftChars="200" w:firstLine="0" w:firstLineChars="0"/>
        <w:jc w:val="center"/>
        <w:rPr>
          <w:color w:val="000000"/>
          <w:szCs w:val="21"/>
        </w:rPr>
      </w:pPr>
      <w:r>
        <w:rPr>
          <w:color w:val="000000"/>
          <w:szCs w:val="21"/>
        </w:rPr>
        <w:drawing>
          <wp:inline distT="0" distB="0" distL="0" distR="0">
            <wp:extent cx="1496695" cy="1950720"/>
            <wp:effectExtent l="0" t="0" r="8255" b="11430"/>
            <wp:docPr id="1027" name="Picture 3" descr="图片包含 桌子, 飞机, 船, 大&#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7" name="Picture 3" descr="图片包含 桌子, 飞机, 船, 大&#10;&#10;描述已自动生成"/>
                    <pic:cNvPicPr>
                      <a:picLocks noChangeAspect="true" noChangeArrowheads="true"/>
                    </pic:cNvPicPr>
                  </pic:nvPicPr>
                  <pic:blipFill>
                    <a:blip r:embed="rId44" cstate="print"/>
                    <a:srcRect/>
                    <a:stretch>
                      <a:fillRect/>
                    </a:stretch>
                  </pic:blipFill>
                  <pic:spPr>
                    <a:xfrm>
                      <a:off x="0" y="0"/>
                      <a:ext cx="1496695" cy="1950720"/>
                    </a:xfrm>
                    <a:prstGeom prst="rect">
                      <a:avLst/>
                    </a:prstGeom>
                    <a:noFill/>
                    <a:ln w="9525">
                      <a:noFill/>
                      <a:miter lim="800000"/>
                      <a:headEnd/>
                      <a:tailEnd/>
                    </a:ln>
                    <a:effectLst/>
                  </pic:spPr>
                </pic:pic>
              </a:graphicData>
            </a:graphic>
          </wp:inline>
        </w:drawing>
      </w:r>
      <w:r>
        <w:rPr>
          <w:color w:val="000000"/>
          <w:szCs w:val="21"/>
        </w:rPr>
        <w:drawing>
          <wp:inline distT="0" distB="0" distL="0" distR="0">
            <wp:extent cx="3051175" cy="1966595"/>
            <wp:effectExtent l="0" t="0" r="15875" b="14605"/>
            <wp:docPr id="2049" name="Picture 1" descr="图表, 表格&#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9" name="Picture 1" descr="图表, 表格&#10;&#10;描述已自动生成"/>
                    <pic:cNvPicPr>
                      <a:picLocks noChangeAspect="true" noChangeArrowheads="true"/>
                    </pic:cNvPicPr>
                  </pic:nvPicPr>
                  <pic:blipFill>
                    <a:blip r:embed="rId45" cstate="print"/>
                    <a:srcRect/>
                    <a:stretch>
                      <a:fillRect/>
                    </a:stretch>
                  </pic:blipFill>
                  <pic:spPr>
                    <a:xfrm>
                      <a:off x="0" y="0"/>
                      <a:ext cx="3051175" cy="1966595"/>
                    </a:xfrm>
                    <a:prstGeom prst="rect">
                      <a:avLst/>
                    </a:prstGeom>
                    <a:noFill/>
                    <a:ln w="9525">
                      <a:noFill/>
                      <a:miter lim="800000"/>
                      <a:headEnd/>
                      <a:tailEnd/>
                    </a:ln>
                    <a:effectLst/>
                  </pic:spPr>
                </pic:pic>
              </a:graphicData>
            </a:graphic>
          </wp:inline>
        </w:drawing>
      </w:r>
    </w:p>
    <w:p>
      <w:pPr>
        <w:spacing w:line="300" w:lineRule="auto"/>
        <w:ind w:left="420" w:leftChars="200" w:firstLine="0" w:firstLineChars="0"/>
        <w:jc w:val="center"/>
        <w:rPr>
          <w:color w:val="000000"/>
          <w:szCs w:val="21"/>
        </w:rPr>
      </w:pPr>
      <w:r>
        <w:rPr>
          <w:color w:val="000000"/>
          <w:szCs w:val="21"/>
        </w:rPr>
        <w:t>图17 某多用途货车头型试验区域</w:t>
      </w:r>
    </w:p>
    <w:p>
      <w:pPr>
        <w:spacing w:line="300" w:lineRule="auto"/>
        <w:ind w:firstLine="840" w:firstLineChars="400"/>
        <w:jc w:val="left"/>
        <w:rPr>
          <w:color w:val="000000"/>
          <w:szCs w:val="21"/>
        </w:rPr>
      </w:pPr>
      <w:r>
        <w:rPr>
          <w:color w:val="000000"/>
          <w:szCs w:val="21"/>
        </w:rPr>
        <w:t>腿型验证试验，正常行驶高度时保险杠下部基准线下部高度为460mm，选择柔性下腿型进行测试验证，划线区域见图18。撞击点选择了拖车钩、牌照板尖角、保险杠尖角和大灯尖角位置，试验结果见表1，全部试验小腿弯矩均小于340Nm，MCL韧带延伸量小于22mm，ACL和PCL韧带延伸量小于13mm，符合标准要求。</w:t>
      </w:r>
    </w:p>
    <w:p>
      <w:pPr>
        <w:spacing w:line="300" w:lineRule="auto"/>
        <w:ind w:left="420" w:leftChars="200" w:firstLine="0" w:firstLineChars="0"/>
        <w:jc w:val="center"/>
        <w:rPr>
          <w:color w:val="000000"/>
          <w:szCs w:val="21"/>
        </w:rPr>
      </w:pPr>
      <w:r>
        <w:rPr>
          <w:color w:val="000000"/>
          <w:szCs w:val="21"/>
        </w:rPr>
        <mc:AlternateContent>
          <mc:Choice Requires="wps">
            <w:drawing>
              <wp:anchor distT="0" distB="0" distL="114300" distR="114300" simplePos="0" relativeHeight="251661312" behindDoc="0" locked="0" layoutInCell="1" allowOverlap="1">
                <wp:simplePos x="0" y="0"/>
                <wp:positionH relativeFrom="column">
                  <wp:posOffset>3649980</wp:posOffset>
                </wp:positionH>
                <wp:positionV relativeFrom="paragraph">
                  <wp:posOffset>375920</wp:posOffset>
                </wp:positionV>
                <wp:extent cx="311150" cy="216535"/>
                <wp:effectExtent l="4445" t="4445" r="8255" b="7620"/>
                <wp:wrapNone/>
                <wp:docPr id="1" name="文本框 1"/>
                <wp:cNvGraphicFramePr/>
                <a:graphic xmlns:a="http://schemas.openxmlformats.org/drawingml/2006/main">
                  <a:graphicData uri="http://schemas.microsoft.com/office/word/2010/wordprocessingShape">
                    <wps:wsp>
                      <wps:cNvSpPr txBox="true"/>
                      <wps:spPr>
                        <a:xfrm>
                          <a:off x="4752975" y="6869430"/>
                          <a:ext cx="311150" cy="216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87.4pt;margin-top:29.6pt;height:17.05pt;width:24.5pt;z-index:251661312;mso-width-relative:page;mso-height-relative:page;" fillcolor="#FFFFFF [3201]" filled="t" stroked="t" coordsize="21600,21600" o:gfxdata="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6byNB1gAAAAkBAAAPAAAAAAAAAAEAIAAAADgAAABkcnMvZG93bnJldi54bWxQSwECFAAUAAAA&#10;CACHTuJAZiiUgEwCAACGBAAADgAAAAAAAAABACAAAAA7AQAAZHJzL2Uyb0RvYy54bWxQSwUGAAAA&#10;AAYABgBZAQAA+QUAAAAA&#10;">
                <v:fill on="t" focussize="0,0"/>
                <v:stroke weight="0.5pt" color="#000000 [3204]" joinstyle="round"/>
                <v:imagedata o:title=""/>
                <o:lock v:ext="edit" aspectratio="f"/>
                <v:textbox>
                  <w:txbxContent>
                    <w:p>
                      <w:pPr>
                        <w:ind w:firstLine="420"/>
                      </w:pPr>
                    </w:p>
                  </w:txbxContent>
                </v:textbox>
              </v:shape>
            </w:pict>
          </mc:Fallback>
        </mc:AlternateContent>
      </w:r>
      <w:r>
        <w:rPr>
          <w:color w:val="000000"/>
          <w:szCs w:val="21"/>
        </w:rPr>
        <w:drawing>
          <wp:inline distT="0" distB="0" distL="0" distR="0">
            <wp:extent cx="1905635" cy="1457325"/>
            <wp:effectExtent l="0" t="0" r="18415" b="9525"/>
            <wp:docPr id="8" name="图片 8" descr="图片包含 室内, 汽车, 视频, 游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包含 室内, 汽车, 视频, 游戏&#10;&#10;描述已自动生成"/>
                    <pic:cNvPicPr>
                      <a:picLocks noChangeAspect="true"/>
                    </pic:cNvPicPr>
                  </pic:nvPicPr>
                  <pic:blipFill>
                    <a:blip r:embed="rId46"/>
                    <a:stretch>
                      <a:fillRect/>
                    </a:stretch>
                  </pic:blipFill>
                  <pic:spPr>
                    <a:xfrm>
                      <a:off x="0" y="0"/>
                      <a:ext cx="1905635" cy="1457325"/>
                    </a:xfrm>
                    <a:prstGeom prst="rect">
                      <a:avLst/>
                    </a:prstGeom>
                  </pic:spPr>
                </pic:pic>
              </a:graphicData>
            </a:graphic>
          </wp:inline>
        </w:drawing>
      </w:r>
      <w:r>
        <w:rPr>
          <w:color w:val="000000"/>
          <w:szCs w:val="21"/>
        </w:rPr>
        <w:drawing>
          <wp:inline distT="0" distB="0" distL="0" distR="0">
            <wp:extent cx="2198370" cy="1450340"/>
            <wp:effectExtent l="0" t="0" r="11430" b="16510"/>
            <wp:docPr id="2050"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true" noChangeArrowheads="true"/>
                    </pic:cNvPicPr>
                  </pic:nvPicPr>
                  <pic:blipFill>
                    <a:blip r:embed="rId47" cstate="print">
                      <a:extLst>
                        <a:ext uri="{28A0092B-C50C-407E-A947-70E740481C1C}">
                          <a14:useLocalDpi xmlns:a14="http://schemas.microsoft.com/office/drawing/2010/main" val="false"/>
                        </a:ext>
                      </a:extLst>
                    </a:blip>
                    <a:srcRect/>
                    <a:stretch>
                      <a:fillRect/>
                    </a:stretch>
                  </pic:blipFill>
                  <pic:spPr>
                    <a:xfrm>
                      <a:off x="0" y="0"/>
                      <a:ext cx="2198370" cy="1450340"/>
                    </a:xfrm>
                    <a:prstGeom prst="rect">
                      <a:avLst/>
                    </a:prstGeom>
                    <a:noFill/>
                    <a:ln>
                      <a:noFill/>
                    </a:ln>
                    <a:effectLst/>
                  </pic:spPr>
                </pic:pic>
              </a:graphicData>
            </a:graphic>
          </wp:inline>
        </w:drawing>
      </w:r>
    </w:p>
    <w:p>
      <w:pPr>
        <w:spacing w:line="300" w:lineRule="auto"/>
        <w:ind w:left="420" w:leftChars="200" w:firstLine="0" w:firstLineChars="0"/>
        <w:jc w:val="center"/>
        <w:rPr>
          <w:color w:val="000000"/>
          <w:szCs w:val="21"/>
        </w:rPr>
      </w:pPr>
      <w:r>
        <w:rPr>
          <w:color w:val="000000"/>
          <w:szCs w:val="21"/>
        </w:rPr>
        <w:t>图18某皮卡车腿型试验区域</w:t>
      </w:r>
    </w:p>
    <w:p>
      <w:pPr>
        <w:spacing w:line="300" w:lineRule="auto"/>
        <w:ind w:left="420" w:leftChars="200" w:firstLine="0" w:firstLineChars="0"/>
        <w:jc w:val="center"/>
        <w:rPr>
          <w:color w:val="000000"/>
          <w:szCs w:val="21"/>
        </w:rPr>
      </w:pPr>
      <w:r>
        <w:rPr>
          <w:color w:val="000000"/>
          <w:szCs w:val="21"/>
        </w:rPr>
        <w:t>表1 某多用途货车腿型试验结果</w:t>
      </w:r>
    </w:p>
    <w:tbl>
      <w:tblPr>
        <w:tblStyle w:val="11"/>
        <w:tblpPr w:leftFromText="180" w:rightFromText="180" w:vertAnchor="text" w:horzAnchor="page" w:tblpX="2506" w:tblpY="79"/>
        <w:tblOverlap w:val="never"/>
        <w:tblW w:w="7387" w:type="dxa"/>
        <w:tblInd w:w="0" w:type="dxa"/>
        <w:tblLayout w:type="fixed"/>
        <w:tblCellMar>
          <w:top w:w="0" w:type="dxa"/>
          <w:left w:w="108" w:type="dxa"/>
          <w:bottom w:w="0" w:type="dxa"/>
          <w:right w:w="108" w:type="dxa"/>
        </w:tblCellMar>
      </w:tblPr>
      <w:tblGrid>
        <w:gridCol w:w="1068"/>
        <w:gridCol w:w="1042"/>
        <w:gridCol w:w="960"/>
        <w:gridCol w:w="1015"/>
        <w:gridCol w:w="960"/>
        <w:gridCol w:w="788"/>
        <w:gridCol w:w="766"/>
        <w:gridCol w:w="788"/>
      </w:tblGrid>
      <w:tr>
        <w:tblPrEx>
          <w:tblCellMar>
            <w:top w:w="0" w:type="dxa"/>
            <w:left w:w="108" w:type="dxa"/>
            <w:bottom w:w="0" w:type="dxa"/>
            <w:right w:w="108" w:type="dxa"/>
          </w:tblCellMar>
        </w:tblPrEx>
        <w:trPr>
          <w:trHeight w:val="57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试验项目与结果</w:t>
            </w:r>
          </w:p>
        </w:tc>
        <w:tc>
          <w:tcPr>
            <w:tcW w:w="1042"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Tibia-1</w:t>
            </w:r>
          </w:p>
          <w:p>
            <w:pPr>
              <w:spacing w:line="300" w:lineRule="auto"/>
              <w:ind w:firstLine="0" w:firstLineChars="0"/>
              <w:jc w:val="center"/>
              <w:rPr>
                <w:color w:val="000000"/>
                <w:szCs w:val="21"/>
              </w:rPr>
            </w:pPr>
            <w:r>
              <w:rPr>
                <w:color w:val="000000"/>
                <w:szCs w:val="21"/>
              </w:rPr>
              <w:t>(N.m)</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Tibia-2</w:t>
            </w:r>
          </w:p>
          <w:p>
            <w:pPr>
              <w:spacing w:line="300" w:lineRule="auto"/>
              <w:ind w:firstLine="0" w:firstLineChars="0"/>
              <w:jc w:val="center"/>
              <w:rPr>
                <w:color w:val="000000"/>
                <w:szCs w:val="21"/>
              </w:rPr>
            </w:pPr>
            <w:r>
              <w:rPr>
                <w:color w:val="000000"/>
                <w:szCs w:val="21"/>
              </w:rPr>
              <w:t>(N.m)</w:t>
            </w:r>
          </w:p>
        </w:tc>
        <w:tc>
          <w:tcPr>
            <w:tcW w:w="1015"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Tibia-3</w:t>
            </w:r>
          </w:p>
          <w:p>
            <w:pPr>
              <w:spacing w:line="300" w:lineRule="auto"/>
              <w:ind w:firstLine="0" w:firstLineChars="0"/>
              <w:jc w:val="center"/>
              <w:rPr>
                <w:color w:val="000000"/>
                <w:szCs w:val="21"/>
              </w:rPr>
            </w:pPr>
            <w:r>
              <w:rPr>
                <w:color w:val="000000"/>
                <w:szCs w:val="21"/>
              </w:rPr>
              <w:t>(N.m)</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Tibia-4</w:t>
            </w:r>
          </w:p>
          <w:p>
            <w:pPr>
              <w:spacing w:line="300" w:lineRule="auto"/>
              <w:ind w:firstLine="0" w:firstLineChars="0"/>
              <w:jc w:val="center"/>
              <w:rPr>
                <w:color w:val="000000"/>
                <w:szCs w:val="21"/>
              </w:rPr>
            </w:pPr>
            <w:r>
              <w:rPr>
                <w:color w:val="000000"/>
                <w:szCs w:val="21"/>
              </w:rPr>
              <w:t>(N.m)</w:t>
            </w:r>
          </w:p>
        </w:tc>
        <w:tc>
          <w:tcPr>
            <w:tcW w:w="788"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ACL</w:t>
            </w:r>
          </w:p>
          <w:p>
            <w:pPr>
              <w:spacing w:line="300" w:lineRule="auto"/>
              <w:ind w:firstLine="0" w:firstLineChars="0"/>
              <w:rPr>
                <w:color w:val="000000"/>
                <w:szCs w:val="21"/>
              </w:rPr>
            </w:pPr>
            <w:r>
              <w:rPr>
                <w:color w:val="000000"/>
                <w:szCs w:val="21"/>
              </w:rPr>
              <w:t xml:space="preserve">（mm） </w:t>
            </w:r>
          </w:p>
        </w:tc>
        <w:tc>
          <w:tcPr>
            <w:tcW w:w="766"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PCL</w:t>
            </w:r>
          </w:p>
          <w:p>
            <w:pPr>
              <w:spacing w:line="300" w:lineRule="auto"/>
              <w:ind w:firstLine="0" w:firstLineChars="0"/>
              <w:rPr>
                <w:color w:val="000000"/>
                <w:szCs w:val="21"/>
              </w:rPr>
            </w:pPr>
            <w:r>
              <w:rPr>
                <w:color w:val="000000"/>
                <w:szCs w:val="21"/>
              </w:rPr>
              <w:t xml:space="preserve">（mm） </w:t>
            </w:r>
          </w:p>
        </w:tc>
        <w:tc>
          <w:tcPr>
            <w:tcW w:w="788"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jc w:val="center"/>
              <w:rPr>
                <w:color w:val="000000"/>
                <w:szCs w:val="21"/>
              </w:rPr>
            </w:pPr>
            <w:r>
              <w:rPr>
                <w:color w:val="000000"/>
                <w:szCs w:val="21"/>
              </w:rPr>
              <w:t>MCL</w:t>
            </w:r>
          </w:p>
          <w:p>
            <w:pPr>
              <w:spacing w:line="300" w:lineRule="auto"/>
              <w:ind w:firstLine="0" w:firstLineChars="0"/>
              <w:rPr>
                <w:color w:val="000000"/>
                <w:szCs w:val="21"/>
              </w:rPr>
            </w:pPr>
            <w:r>
              <w:rPr>
                <w:color w:val="000000"/>
                <w:szCs w:val="21"/>
              </w:rPr>
              <w:t xml:space="preserve">（mm） </w:t>
            </w:r>
          </w:p>
        </w:tc>
      </w:tr>
      <w:tr>
        <w:tblPrEx>
          <w:tblCellMar>
            <w:top w:w="0" w:type="dxa"/>
            <w:left w:w="108" w:type="dxa"/>
            <w:bottom w:w="0" w:type="dxa"/>
            <w:right w:w="108" w:type="dxa"/>
          </w:tblCellMar>
        </w:tblPrEx>
        <w:trPr>
          <w:trHeight w:val="2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left="420" w:leftChars="200" w:firstLine="0" w:firstLineChars="0"/>
              <w:jc w:val="center"/>
              <w:rPr>
                <w:color w:val="000000"/>
                <w:szCs w:val="21"/>
              </w:rPr>
            </w:pPr>
            <w:r>
              <w:rPr>
                <w:color w:val="000000"/>
                <w:szCs w:val="21"/>
              </w:rPr>
              <w:t>L1</w:t>
            </w:r>
          </w:p>
        </w:tc>
        <w:tc>
          <w:tcPr>
            <w:tcW w:w="1042" w:type="dxa"/>
            <w:tcBorders>
              <w:top w:val="single" w:color="auto" w:sz="4" w:space="0"/>
              <w:left w:val="nil"/>
              <w:bottom w:val="single" w:color="000000" w:sz="4" w:space="0"/>
              <w:right w:val="single" w:color="000000" w:sz="4" w:space="0"/>
            </w:tcBorders>
            <w:shd w:val="clear" w:color="auto" w:fill="auto"/>
            <w:vAlign w:val="center"/>
          </w:tcPr>
          <w:p>
            <w:pPr>
              <w:spacing w:line="300" w:lineRule="auto"/>
              <w:ind w:firstLine="0" w:firstLineChars="0"/>
              <w:rPr>
                <w:color w:val="000000"/>
                <w:szCs w:val="21"/>
              </w:rPr>
            </w:pPr>
            <w:r>
              <w:rPr>
                <w:color w:val="000000"/>
                <w:szCs w:val="21"/>
              </w:rPr>
              <w:t>194</w:t>
            </w:r>
          </w:p>
        </w:tc>
        <w:tc>
          <w:tcPr>
            <w:tcW w:w="960" w:type="dxa"/>
            <w:tcBorders>
              <w:top w:val="single" w:color="auto" w:sz="4" w:space="0"/>
              <w:left w:val="nil"/>
              <w:bottom w:val="single" w:color="000000" w:sz="4" w:space="0"/>
              <w:right w:val="single" w:color="000000" w:sz="4" w:space="0"/>
            </w:tcBorders>
            <w:shd w:val="clear" w:color="auto" w:fill="auto"/>
            <w:vAlign w:val="center"/>
          </w:tcPr>
          <w:p>
            <w:pPr>
              <w:spacing w:line="300" w:lineRule="auto"/>
              <w:ind w:firstLine="0" w:firstLineChars="0"/>
              <w:rPr>
                <w:color w:val="000000"/>
                <w:szCs w:val="21"/>
              </w:rPr>
            </w:pPr>
            <w:r>
              <w:rPr>
                <w:color w:val="000000"/>
                <w:szCs w:val="21"/>
              </w:rPr>
              <w:t>192</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124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55</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5.9</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9.7</w:t>
            </w:r>
          </w:p>
        </w:tc>
      </w:tr>
      <w:tr>
        <w:tblPrEx>
          <w:tblCellMar>
            <w:top w:w="0" w:type="dxa"/>
            <w:left w:w="108" w:type="dxa"/>
            <w:bottom w:w="0" w:type="dxa"/>
            <w:right w:w="108" w:type="dxa"/>
          </w:tblCellMar>
        </w:tblPrEx>
        <w:trPr>
          <w:trHeight w:val="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300" w:lineRule="auto"/>
              <w:ind w:left="420" w:leftChars="200" w:firstLine="0" w:firstLineChars="0"/>
              <w:jc w:val="center"/>
              <w:rPr>
                <w:color w:val="000000"/>
                <w:szCs w:val="21"/>
              </w:rPr>
            </w:pPr>
            <w:r>
              <w:rPr>
                <w:color w:val="000000"/>
                <w:szCs w:val="21"/>
              </w:rPr>
              <w:t>L3</w:t>
            </w:r>
          </w:p>
        </w:tc>
        <w:tc>
          <w:tcPr>
            <w:tcW w:w="1042"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215</w:t>
            </w:r>
          </w:p>
        </w:tc>
        <w:tc>
          <w:tcPr>
            <w:tcW w:w="960"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227</w:t>
            </w:r>
          </w:p>
        </w:tc>
        <w:tc>
          <w:tcPr>
            <w:tcW w:w="1015"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145</w:t>
            </w:r>
          </w:p>
        </w:tc>
        <w:tc>
          <w:tcPr>
            <w:tcW w:w="960"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63</w:t>
            </w:r>
          </w:p>
        </w:tc>
        <w:tc>
          <w:tcPr>
            <w:tcW w:w="788"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4.2</w:t>
            </w:r>
          </w:p>
        </w:tc>
        <w:tc>
          <w:tcPr>
            <w:tcW w:w="766"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1.9</w:t>
            </w:r>
          </w:p>
        </w:tc>
        <w:tc>
          <w:tcPr>
            <w:tcW w:w="788" w:type="dxa"/>
            <w:tcBorders>
              <w:top w:val="nil"/>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5</w:t>
            </w:r>
          </w:p>
        </w:tc>
      </w:tr>
      <w:tr>
        <w:trPr>
          <w:trHeight w:val="2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left="420" w:leftChars="200" w:firstLine="0" w:firstLineChars="0"/>
              <w:jc w:val="center"/>
              <w:rPr>
                <w:color w:val="000000"/>
                <w:szCs w:val="21"/>
              </w:rPr>
            </w:pPr>
            <w:r>
              <w:rPr>
                <w:color w:val="000000"/>
                <w:szCs w:val="21"/>
              </w:rPr>
              <w:t>L4</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212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225</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144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67</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4.4</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2.2</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4.9</w:t>
            </w:r>
          </w:p>
        </w:tc>
      </w:tr>
      <w:tr>
        <w:tblPrEx>
          <w:tblCellMar>
            <w:top w:w="0" w:type="dxa"/>
            <w:left w:w="108" w:type="dxa"/>
            <w:bottom w:w="0" w:type="dxa"/>
            <w:right w:w="108" w:type="dxa"/>
          </w:tblCellMar>
        </w:tblPrEx>
        <w:trPr>
          <w:trHeight w:val="2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left="420" w:leftChars="200" w:firstLine="0" w:firstLineChars="0"/>
              <w:jc w:val="center"/>
              <w:rPr>
                <w:color w:val="000000"/>
                <w:szCs w:val="21"/>
              </w:rPr>
            </w:pPr>
            <w:r>
              <w:rPr>
                <w:color w:val="000000"/>
                <w:szCs w:val="21"/>
              </w:rPr>
              <w:t>L5</w:t>
            </w:r>
          </w:p>
        </w:tc>
        <w:tc>
          <w:tcPr>
            <w:tcW w:w="1042"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257</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248</w:t>
            </w:r>
          </w:p>
        </w:tc>
        <w:tc>
          <w:tcPr>
            <w:tcW w:w="1015"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150</w:t>
            </w:r>
          </w:p>
        </w:tc>
        <w:tc>
          <w:tcPr>
            <w:tcW w:w="960"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68</w:t>
            </w:r>
          </w:p>
        </w:tc>
        <w:tc>
          <w:tcPr>
            <w:tcW w:w="788"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5.3</w:t>
            </w:r>
          </w:p>
        </w:tc>
        <w:tc>
          <w:tcPr>
            <w:tcW w:w="766"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1.2</w:t>
            </w:r>
          </w:p>
        </w:tc>
        <w:tc>
          <w:tcPr>
            <w:tcW w:w="788" w:type="dxa"/>
            <w:tcBorders>
              <w:top w:val="single" w:color="auto" w:sz="4" w:space="0"/>
              <w:left w:val="nil"/>
              <w:bottom w:val="single" w:color="auto" w:sz="4" w:space="0"/>
              <w:right w:val="single" w:color="auto" w:sz="4" w:space="0"/>
            </w:tcBorders>
            <w:shd w:val="clear" w:color="auto" w:fill="auto"/>
            <w:vAlign w:val="center"/>
          </w:tcPr>
          <w:p>
            <w:pPr>
              <w:spacing w:line="300" w:lineRule="auto"/>
              <w:ind w:firstLine="0" w:firstLineChars="0"/>
              <w:rPr>
                <w:color w:val="000000"/>
                <w:szCs w:val="21"/>
              </w:rPr>
            </w:pPr>
            <w:r>
              <w:rPr>
                <w:color w:val="000000"/>
                <w:szCs w:val="21"/>
              </w:rPr>
              <w:t>7.9</w:t>
            </w:r>
          </w:p>
        </w:tc>
      </w:tr>
    </w:tbl>
    <w:p>
      <w:pPr>
        <w:spacing w:line="300" w:lineRule="auto"/>
        <w:ind w:left="420" w:leftChars="200" w:firstLine="0" w:firstLineChars="0"/>
        <w:jc w:val="center"/>
        <w:rPr>
          <w:color w:val="000000"/>
          <w:szCs w:val="21"/>
        </w:rPr>
      </w:pPr>
    </w:p>
    <w:p>
      <w:pPr>
        <w:spacing w:line="300" w:lineRule="auto"/>
        <w:ind w:firstLine="420"/>
        <w:rPr>
          <w:color w:val="000000"/>
          <w:szCs w:val="21"/>
        </w:rPr>
      </w:pPr>
    </w:p>
    <w:p>
      <w:pPr>
        <w:spacing w:line="300" w:lineRule="auto"/>
        <w:ind w:firstLine="420"/>
        <w:rPr>
          <w:color w:val="000000"/>
          <w:szCs w:val="21"/>
        </w:rPr>
      </w:pPr>
    </w:p>
    <w:p>
      <w:pPr>
        <w:spacing w:line="300" w:lineRule="auto"/>
        <w:ind w:firstLine="420"/>
        <w:rPr>
          <w:color w:val="000000"/>
          <w:szCs w:val="21"/>
        </w:rPr>
      </w:pPr>
    </w:p>
    <w:p>
      <w:pPr>
        <w:spacing w:line="300" w:lineRule="auto"/>
        <w:ind w:firstLine="420"/>
        <w:rPr>
          <w:color w:val="000000"/>
          <w:szCs w:val="21"/>
        </w:rPr>
      </w:pPr>
    </w:p>
    <w:p>
      <w:pPr>
        <w:spacing w:line="300" w:lineRule="auto"/>
        <w:ind w:firstLine="420"/>
        <w:rPr>
          <w:color w:val="000000"/>
          <w:szCs w:val="21"/>
        </w:rPr>
      </w:pPr>
    </w:p>
    <w:p>
      <w:pPr>
        <w:spacing w:line="300" w:lineRule="auto"/>
        <w:ind w:firstLine="420"/>
        <w:rPr>
          <w:color w:val="000000"/>
          <w:szCs w:val="21"/>
        </w:rPr>
      </w:pPr>
    </w:p>
    <w:p>
      <w:pPr>
        <w:spacing w:line="300" w:lineRule="auto"/>
        <w:ind w:firstLine="0" w:firstLineChars="0"/>
        <w:rPr>
          <w:color w:val="000000"/>
          <w:szCs w:val="21"/>
        </w:rPr>
      </w:pPr>
    </w:p>
    <w:p>
      <w:pPr>
        <w:spacing w:line="300" w:lineRule="auto"/>
        <w:ind w:left="420" w:leftChars="200" w:firstLine="0" w:firstLineChars="0"/>
        <w:jc w:val="left"/>
        <w:rPr>
          <w:color w:val="000000"/>
          <w:szCs w:val="21"/>
        </w:rPr>
      </w:pPr>
      <w:r>
        <w:rPr>
          <w:color w:val="000000"/>
          <w:szCs w:val="21"/>
        </w:rPr>
        <w:t>（6）微型车验证</w:t>
      </w:r>
    </w:p>
    <w:p>
      <w:pPr>
        <w:spacing w:line="300" w:lineRule="auto"/>
        <w:ind w:firstLine="420"/>
        <w:rPr>
          <w:color w:val="000000"/>
          <w:szCs w:val="21"/>
        </w:rPr>
      </w:pPr>
      <w:r>
        <w:rPr>
          <w:color w:val="000000"/>
          <w:szCs w:val="21"/>
        </w:rPr>
        <w:t>对于微型乘用车，本类车型在行人保护性能安全测试中具有独特的划线区域。2020年6月，工作组组织了对5款微型车进行了外部WAD包络线的测量见图17，结果显示：</w:t>
      </w:r>
    </w:p>
    <w:p>
      <w:pPr>
        <w:spacing w:line="300" w:lineRule="auto"/>
        <w:ind w:firstLine="0" w:firstLineChars="0"/>
        <w:jc w:val="center"/>
        <w:rPr>
          <w:color w:val="000000"/>
          <w:szCs w:val="21"/>
        </w:rPr>
      </w:pPr>
      <w:r>
        <w:rPr>
          <w:color w:val="000000"/>
          <w:szCs w:val="21"/>
          <w:lang w:val="zh-CN"/>
        </w:rPr>
        <w:drawing>
          <wp:inline distT="0" distB="0" distL="0" distR="0">
            <wp:extent cx="1079500" cy="1231900"/>
            <wp:effectExtent l="0" t="0" r="0" b="0"/>
            <wp:docPr id="27" name="图片 27" descr="红色的汽车&#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红色的汽车&#10;&#10;描述已自动生成"/>
                    <pic:cNvPicPr>
                      <a:picLocks noChangeAspect="true"/>
                    </pic:cNvPicPr>
                  </pic:nvPicPr>
                  <pic:blipFill>
                    <a:blip r:embed="rId48" cstate="print">
                      <a:extLst>
                        <a:ext uri="{28A0092B-C50C-407E-A947-70E740481C1C}">
                          <a14:useLocalDpi xmlns:a14="http://schemas.microsoft.com/office/drawing/2010/main" val="false"/>
                        </a:ext>
                      </a:extLst>
                    </a:blip>
                    <a:stretch>
                      <a:fillRect/>
                    </a:stretch>
                  </pic:blipFill>
                  <pic:spPr>
                    <a:xfrm>
                      <a:off x="0" y="0"/>
                      <a:ext cx="1120411" cy="1278890"/>
                    </a:xfrm>
                    <a:prstGeom prst="rect">
                      <a:avLst/>
                    </a:prstGeom>
                  </pic:spPr>
                </pic:pic>
              </a:graphicData>
            </a:graphic>
          </wp:inline>
        </w:drawing>
      </w:r>
      <w:r>
        <w:rPr>
          <w:color w:val="000000"/>
          <w:szCs w:val="21"/>
        </w:rPr>
        <w:drawing>
          <wp:inline distT="0" distB="0" distL="0" distR="0">
            <wp:extent cx="1145540" cy="1231265"/>
            <wp:effectExtent l="0" t="0" r="0" b="635"/>
            <wp:docPr id="28" name="图片 28" descr="蓝色的汽车&#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蓝色的汽车&#10;&#10;描述已自动生成"/>
                    <pic:cNvPicPr>
                      <a:picLocks noChangeAspect="true"/>
                    </pic:cNvPicPr>
                  </pic:nvPicPr>
                  <pic:blipFill>
                    <a:blip r:embed="rId49" cstate="print">
                      <a:extLst>
                        <a:ext uri="{28A0092B-C50C-407E-A947-70E740481C1C}">
                          <a14:useLocalDpi xmlns:a14="http://schemas.microsoft.com/office/drawing/2010/main" val="false"/>
                        </a:ext>
                      </a:extLst>
                    </a:blip>
                    <a:stretch>
                      <a:fillRect/>
                    </a:stretch>
                  </pic:blipFill>
                  <pic:spPr>
                    <a:xfrm>
                      <a:off x="0" y="0"/>
                      <a:ext cx="1184391" cy="1273219"/>
                    </a:xfrm>
                    <a:prstGeom prst="rect">
                      <a:avLst/>
                    </a:prstGeom>
                  </pic:spPr>
                </pic:pic>
              </a:graphicData>
            </a:graphic>
          </wp:inline>
        </w:drawing>
      </w:r>
      <w:r>
        <w:rPr>
          <w:color w:val="000000"/>
          <w:szCs w:val="21"/>
        </w:rPr>
        <w:drawing>
          <wp:inline distT="0" distB="0" distL="0" distR="0">
            <wp:extent cx="1078230" cy="1207770"/>
            <wp:effectExtent l="0" t="0" r="7620" b="11430"/>
            <wp:docPr id="23" name="图片 23" descr="夜晚蓝色的汽车&#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夜晚蓝色的汽车&#10;&#10;描述已自动生成"/>
                    <pic:cNvPicPr>
                      <a:picLocks noChangeAspect="true"/>
                    </pic:cNvPicPr>
                  </pic:nvPicPr>
                  <pic:blipFill>
                    <a:blip r:embed="rId50" cstate="print">
                      <a:extLst>
                        <a:ext uri="{28A0092B-C50C-407E-A947-70E740481C1C}">
                          <a14:useLocalDpi xmlns:a14="http://schemas.microsoft.com/office/drawing/2010/main" val="false"/>
                        </a:ext>
                      </a:extLst>
                    </a:blip>
                    <a:stretch>
                      <a:fillRect/>
                    </a:stretch>
                  </pic:blipFill>
                  <pic:spPr>
                    <a:xfrm>
                      <a:off x="0" y="0"/>
                      <a:ext cx="1139259" cy="1275971"/>
                    </a:xfrm>
                    <a:prstGeom prst="rect">
                      <a:avLst/>
                    </a:prstGeom>
                  </pic:spPr>
                </pic:pic>
              </a:graphicData>
            </a:graphic>
          </wp:inline>
        </w:drawing>
      </w:r>
      <w:r>
        <w:rPr>
          <w:color w:val="000000"/>
          <w:szCs w:val="21"/>
        </w:rPr>
        <w:drawing>
          <wp:inline distT="0" distB="0" distL="0" distR="0">
            <wp:extent cx="1130935" cy="1193165"/>
            <wp:effectExtent l="0" t="0" r="0" b="635"/>
            <wp:docPr id="34" name="图片 34" descr="蓝色的汽车&#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蓝色的汽车&#10;&#10;描述已自动生成"/>
                    <pic:cNvPicPr>
                      <a:picLocks noChangeAspect="true"/>
                    </pic:cNvPicPr>
                  </pic:nvPicPr>
                  <pic:blipFill>
                    <a:blip r:embed="rId51" cstate="print">
                      <a:extLst>
                        <a:ext uri="{28A0092B-C50C-407E-A947-70E740481C1C}">
                          <a14:useLocalDpi xmlns:a14="http://schemas.microsoft.com/office/drawing/2010/main" val="false"/>
                        </a:ext>
                      </a:extLst>
                    </a:blip>
                    <a:stretch>
                      <a:fillRect/>
                    </a:stretch>
                  </pic:blipFill>
                  <pic:spPr>
                    <a:xfrm>
                      <a:off x="0" y="0"/>
                      <a:ext cx="1166205" cy="1230365"/>
                    </a:xfrm>
                    <a:prstGeom prst="rect">
                      <a:avLst/>
                    </a:prstGeom>
                  </pic:spPr>
                </pic:pic>
              </a:graphicData>
            </a:graphic>
          </wp:inline>
        </w:drawing>
      </w:r>
    </w:p>
    <w:p>
      <w:pPr>
        <w:spacing w:line="300" w:lineRule="auto"/>
        <w:ind w:firstLine="0" w:firstLineChars="0"/>
        <w:jc w:val="center"/>
        <w:rPr>
          <w:color w:val="000000"/>
          <w:szCs w:val="21"/>
        </w:rPr>
      </w:pPr>
      <w:r>
        <w:rPr>
          <w:color w:val="000000"/>
          <w:szCs w:val="21"/>
        </w:rPr>
        <w:t>图17 微型车WAD包络线划线示意图</w:t>
      </w:r>
    </w:p>
    <w:p>
      <w:pPr>
        <w:spacing w:line="300" w:lineRule="auto"/>
        <w:ind w:firstLine="420"/>
        <w:rPr>
          <w:color w:val="000000"/>
          <w:szCs w:val="21"/>
        </w:rPr>
      </w:pPr>
      <w:r>
        <w:rPr>
          <w:color w:val="000000"/>
          <w:szCs w:val="21"/>
        </w:rPr>
        <w:t>——由于大片区域位于风窗玻璃之上，微型车总体可满足标准要求；</w:t>
      </w:r>
    </w:p>
    <w:p>
      <w:pPr>
        <w:spacing w:line="300" w:lineRule="auto"/>
        <w:ind w:firstLine="420"/>
        <w:rPr>
          <w:color w:val="000000"/>
          <w:szCs w:val="21"/>
        </w:rPr>
      </w:pPr>
      <w:r>
        <w:rPr>
          <w:color w:val="000000"/>
          <w:szCs w:val="21"/>
        </w:rPr>
        <w:t>——非玻璃测试区域仅针对儿童头型的考核，并且存在没有发动机罩部件的情况。</w:t>
      </w:r>
      <w:bookmarkStart w:id="24" w:name="_Toc64898477"/>
    </w:p>
    <w:p>
      <w:pPr>
        <w:autoSpaceDE w:val="0"/>
        <w:autoSpaceDN w:val="0"/>
        <w:adjustRightInd w:val="0"/>
        <w:spacing w:line="400" w:lineRule="exact"/>
        <w:ind w:firstLine="480"/>
        <w:jc w:val="left"/>
        <w:outlineLvl w:val="0"/>
        <w:rPr>
          <w:rFonts w:eastAsia="黑体"/>
          <w:bCs/>
          <w:color w:val="000000"/>
          <w:kern w:val="0"/>
          <w:sz w:val="24"/>
        </w:rPr>
      </w:pPr>
      <w:r>
        <w:rPr>
          <w:rFonts w:hint="eastAsia" w:eastAsia="黑体"/>
          <w:bCs/>
          <w:color w:val="000000"/>
          <w:kern w:val="0"/>
          <w:sz w:val="24"/>
        </w:rPr>
        <w:t>三、</w:t>
      </w:r>
      <w:r>
        <w:rPr>
          <w:rFonts w:eastAsia="黑体"/>
          <w:bCs/>
          <w:color w:val="000000"/>
          <w:kern w:val="0"/>
          <w:sz w:val="24"/>
        </w:rPr>
        <w:t>与有关法律、行政法规和其他标准的关系</w:t>
      </w:r>
      <w:bookmarkEnd w:id="24"/>
    </w:p>
    <w:p>
      <w:pPr>
        <w:spacing w:line="300" w:lineRule="auto"/>
        <w:ind w:firstLine="420"/>
      </w:pPr>
      <w:r>
        <w:rPr>
          <w:color w:val="000000"/>
          <w:szCs w:val="21"/>
        </w:rPr>
        <w:t>本标准是汽车碰撞安全标准中唯一涉及行人保护的强制性国家标准，与其他现有、制定中的标准协调配套良好。该标准与我国现行的法律、法规无冲突，与现行国家标准相互协调、相互补充。</w:t>
      </w:r>
    </w:p>
    <w:p>
      <w:pPr>
        <w:autoSpaceDE w:val="0"/>
        <w:autoSpaceDN w:val="0"/>
        <w:adjustRightInd w:val="0"/>
        <w:spacing w:line="400" w:lineRule="exact"/>
        <w:ind w:firstLine="480"/>
        <w:jc w:val="left"/>
        <w:outlineLvl w:val="0"/>
        <w:rPr>
          <w:rFonts w:eastAsia="黑体"/>
          <w:bCs/>
          <w:color w:val="000000"/>
          <w:kern w:val="0"/>
          <w:sz w:val="24"/>
        </w:rPr>
      </w:pPr>
      <w:bookmarkStart w:id="25" w:name="_Toc64898478"/>
      <w:r>
        <w:rPr>
          <w:rFonts w:hint="eastAsia" w:eastAsia="黑体"/>
          <w:bCs/>
          <w:color w:val="000000"/>
          <w:kern w:val="0"/>
          <w:sz w:val="24"/>
        </w:rPr>
        <w:t>四、</w:t>
      </w:r>
      <w:r>
        <w:rPr>
          <w:rFonts w:eastAsia="黑体"/>
          <w:bCs/>
          <w:color w:val="000000"/>
          <w:kern w:val="0"/>
          <w:sz w:val="24"/>
        </w:rPr>
        <w:t>与国际标准化组织、其他国家或者地区有关法律法规和标准的比对分析</w:t>
      </w:r>
      <w:bookmarkEnd w:id="25"/>
    </w:p>
    <w:p>
      <w:pPr>
        <w:spacing w:line="300" w:lineRule="auto"/>
        <w:ind w:firstLine="420"/>
      </w:pPr>
      <w:r>
        <w:rPr>
          <w:color w:val="000000"/>
          <w:szCs w:val="21"/>
        </w:rPr>
        <w:t>标准修订以UN Regulation No.127《关于机动车对行人碰撞安全保护性能的统一规定》修订版3作为主要技术参考文本，与UN R127的主要技术差异如下：</w:t>
      </w:r>
    </w:p>
    <w:p>
      <w:pPr>
        <w:spacing w:line="300" w:lineRule="auto"/>
        <w:ind w:firstLine="420"/>
      </w:pPr>
      <w:r>
        <w:rPr>
          <w:color w:val="000000"/>
          <w:szCs w:val="21"/>
        </w:rPr>
        <w:t>——删除了UN R127第3章批准申请、第4章批准、第6章车型变更和批准扩展、第7章生产一致性、第8章非生产一致性处罚、第9章产品停产、第10章技术服务和批准机构的名称和地址、第11章过渡期规定以及附件1批准文件信息、附件2批准标志等内容，其原因是与标准技术内容无关。</w:t>
      </w:r>
    </w:p>
    <w:p>
      <w:pPr>
        <w:spacing w:line="300" w:lineRule="auto"/>
        <w:ind w:firstLine="420"/>
      </w:pPr>
      <w:r>
        <w:rPr>
          <w:color w:val="000000"/>
          <w:szCs w:val="21"/>
        </w:rPr>
        <w:t>——更改了“保险杠试验区域”、“儿童头型试验区域” 的定义；与UN法规相比，将成人头型测试区域扩大范围至WAD2300，而未采用UN法规的WAD2500，主要根据国内交通事故的典型工况，整体上在撞击后头部落点相对欧洲事故更靠近车辆前端。</w:t>
      </w:r>
    </w:p>
    <w:p>
      <w:pPr>
        <w:spacing w:line="300" w:lineRule="auto"/>
        <w:ind w:firstLine="420"/>
      </w:pPr>
      <w:r>
        <w:rPr>
          <w:color w:val="000000"/>
          <w:szCs w:val="21"/>
        </w:rPr>
        <w:t>——更改了 “保险杠角”、“角点”等定义，根据技术变化，修改了相应表述。</w:t>
      </w:r>
    </w:p>
    <w:p>
      <w:pPr>
        <w:spacing w:line="300" w:lineRule="auto"/>
        <w:ind w:firstLine="420"/>
      </w:pPr>
      <w:r>
        <w:rPr>
          <w:color w:val="000000"/>
          <w:szCs w:val="21"/>
        </w:rPr>
        <w:t>——删除了“A柱”、“保险杠前缘”、“前风窗玻璃”等定义。</w:t>
      </w:r>
    </w:p>
    <w:p>
      <w:pPr>
        <w:spacing w:line="300" w:lineRule="auto"/>
        <w:ind w:firstLine="420"/>
      </w:pPr>
      <w:r>
        <w:rPr>
          <w:color w:val="000000"/>
          <w:szCs w:val="21"/>
        </w:rPr>
        <w:t>本标准技术上也参考了Global Technical Regulation No.9《行人保护》，本次标准修订中扩大成人头型测试区域，延展到WAD2300区域。在腿型测试中，与Global Technical Regulation No.9的刚性腿相比，采用了UN 法规中柔性腿型；针对腿型测试边界的测量方法进行了优化，使用236mm的方板替代了原有的60°平面测量，试验更加科学、严谨。</w:t>
      </w:r>
    </w:p>
    <w:p>
      <w:pPr>
        <w:spacing w:line="300" w:lineRule="auto"/>
        <w:ind w:firstLine="420"/>
      </w:pPr>
      <w:r>
        <w:rPr>
          <w:color w:val="000000"/>
          <w:szCs w:val="21"/>
        </w:rPr>
        <w:t>标准修订过程中，工作组跟踪并参与了国际标准化组织（ISO）开展的ISO aPLI腿型验证工作，经讨论决定本标准不采用aPLI腿型，采用了国际主流的柔性腿型进行测试和评价。</w:t>
      </w:r>
    </w:p>
    <w:p>
      <w:pPr>
        <w:autoSpaceDE w:val="0"/>
        <w:autoSpaceDN w:val="0"/>
        <w:adjustRightInd w:val="0"/>
        <w:spacing w:line="400" w:lineRule="exact"/>
        <w:ind w:firstLine="480"/>
        <w:jc w:val="left"/>
        <w:outlineLvl w:val="0"/>
        <w:rPr>
          <w:rFonts w:eastAsia="黑体"/>
          <w:bCs/>
          <w:color w:val="000000"/>
          <w:kern w:val="0"/>
          <w:sz w:val="24"/>
        </w:rPr>
      </w:pPr>
      <w:bookmarkStart w:id="26" w:name="_Toc64898479"/>
      <w:r>
        <w:rPr>
          <w:rFonts w:hint="eastAsia" w:eastAsia="黑体"/>
          <w:bCs/>
          <w:color w:val="000000"/>
          <w:kern w:val="0"/>
          <w:sz w:val="24"/>
        </w:rPr>
        <w:t>五、</w:t>
      </w:r>
      <w:r>
        <w:rPr>
          <w:rFonts w:eastAsia="黑体"/>
          <w:bCs/>
          <w:color w:val="000000"/>
          <w:kern w:val="0"/>
          <w:sz w:val="24"/>
        </w:rPr>
        <w:t>重大分歧意见的处理过程、处理意见及其依据</w:t>
      </w:r>
      <w:bookmarkEnd w:id="26"/>
    </w:p>
    <w:p>
      <w:pPr>
        <w:autoSpaceDE w:val="0"/>
        <w:autoSpaceDN w:val="0"/>
        <w:adjustRightInd w:val="0"/>
        <w:spacing w:line="400" w:lineRule="exact"/>
        <w:ind w:firstLine="420"/>
        <w:jc w:val="left"/>
        <w:outlineLvl w:val="0"/>
        <w:rPr>
          <w:color w:val="000000"/>
        </w:rPr>
      </w:pPr>
      <w:r>
        <w:rPr>
          <w:color w:val="000000"/>
        </w:rPr>
        <w:t>标准修订过程中无重大分歧。</w:t>
      </w:r>
    </w:p>
    <w:p>
      <w:pPr>
        <w:autoSpaceDE w:val="0"/>
        <w:autoSpaceDN w:val="0"/>
        <w:adjustRightInd w:val="0"/>
        <w:spacing w:line="400" w:lineRule="exact"/>
        <w:ind w:firstLine="480"/>
        <w:jc w:val="left"/>
        <w:outlineLvl w:val="0"/>
        <w:rPr>
          <w:rFonts w:eastAsia="黑体"/>
          <w:bCs/>
          <w:color w:val="000000"/>
          <w:kern w:val="0"/>
          <w:sz w:val="24"/>
        </w:rPr>
      </w:pPr>
      <w:bookmarkStart w:id="27" w:name="_Toc64898480"/>
      <w:r>
        <w:rPr>
          <w:rFonts w:hint="eastAsia" w:eastAsia="黑体"/>
          <w:bCs/>
          <w:color w:val="000000"/>
          <w:kern w:val="0"/>
          <w:sz w:val="24"/>
        </w:rPr>
        <w:t>六、</w:t>
      </w:r>
      <w:r>
        <w:rPr>
          <w:rFonts w:eastAsia="黑体"/>
          <w:bCs/>
          <w:color w:val="000000"/>
          <w:kern w:val="0"/>
          <w:sz w:val="24"/>
        </w:rPr>
        <w:t>对强制性国家标准自发布日期至实施日期之间的过渡期的建议及理由</w:t>
      </w:r>
      <w:bookmarkEnd w:id="27"/>
    </w:p>
    <w:p>
      <w:pPr>
        <w:spacing w:line="300" w:lineRule="auto"/>
        <w:ind w:firstLine="420"/>
        <w:rPr>
          <w:color w:val="000000"/>
          <w:szCs w:val="21"/>
        </w:rPr>
      </w:pPr>
      <w:r>
        <w:rPr>
          <w:color w:val="000000"/>
          <w:szCs w:val="21"/>
        </w:rPr>
        <w:t xml:space="preserve">结合行业现状和技术发展趋势以及标准修订过程中的行业讨论和意见，建议标准实施过渡日期如下： </w:t>
      </w:r>
    </w:p>
    <w:p>
      <w:pPr>
        <w:pStyle w:val="21"/>
        <w:tabs>
          <w:tab w:val="center" w:pos="4201"/>
          <w:tab w:val="right" w:leader="dot" w:pos="9298"/>
        </w:tabs>
        <w:ind w:firstLine="420"/>
        <w:outlineLvl w:val="9"/>
        <w:rPr>
          <w:rFonts w:hAnsi="宋体"/>
          <w:color w:val="000000"/>
        </w:rPr>
      </w:pPr>
      <w:r>
        <w:rPr>
          <w:rFonts w:hint="eastAsia" w:hAnsi="宋体"/>
          <w:color w:val="000000"/>
        </w:rPr>
        <w:t>（1）对于新申请型式批准的车型，自本文件实施之日起开始执行；</w:t>
      </w:r>
    </w:p>
    <w:p>
      <w:pPr>
        <w:spacing w:line="300" w:lineRule="auto"/>
        <w:ind w:firstLine="420"/>
        <w:rPr>
          <w:color w:val="000000"/>
          <w:szCs w:val="21"/>
        </w:rPr>
      </w:pPr>
      <w:r>
        <w:rPr>
          <w:rFonts w:hint="eastAsia" w:hAnsi="宋体"/>
          <w:color w:val="000000"/>
        </w:rPr>
        <w:t>（2）对于已获得型式批准的车型，自本文件实施之日起第</w:t>
      </w:r>
      <w:r>
        <w:rPr>
          <w:rFonts w:hAnsi="宋体"/>
          <w:color w:val="000000"/>
        </w:rPr>
        <w:t>25</w:t>
      </w:r>
      <w:r>
        <w:rPr>
          <w:rFonts w:hint="eastAsia" w:hAnsi="宋体"/>
          <w:color w:val="000000"/>
        </w:rPr>
        <w:t>个月开始执行。</w:t>
      </w:r>
    </w:p>
    <w:p>
      <w:pPr>
        <w:autoSpaceDE w:val="0"/>
        <w:autoSpaceDN w:val="0"/>
        <w:adjustRightInd w:val="0"/>
        <w:spacing w:line="400" w:lineRule="exact"/>
        <w:ind w:firstLine="480"/>
        <w:jc w:val="left"/>
        <w:outlineLvl w:val="0"/>
        <w:rPr>
          <w:rFonts w:eastAsia="黑体"/>
          <w:bCs/>
          <w:color w:val="000000"/>
          <w:kern w:val="0"/>
          <w:sz w:val="24"/>
        </w:rPr>
      </w:pPr>
      <w:bookmarkStart w:id="28" w:name="_Toc64898481"/>
      <w:r>
        <w:rPr>
          <w:rFonts w:hint="eastAsia" w:eastAsia="黑体"/>
          <w:bCs/>
          <w:color w:val="000000"/>
          <w:kern w:val="0"/>
          <w:sz w:val="24"/>
        </w:rPr>
        <w:t>七、</w:t>
      </w:r>
      <w:r>
        <w:rPr>
          <w:rFonts w:eastAsia="黑体"/>
          <w:bCs/>
          <w:color w:val="000000"/>
          <w:kern w:val="0"/>
          <w:sz w:val="24"/>
        </w:rPr>
        <w:t>与实施强制性国家标准有关的政策措施</w:t>
      </w:r>
      <w:bookmarkEnd w:id="28"/>
    </w:p>
    <w:p>
      <w:pPr>
        <w:spacing w:line="300" w:lineRule="auto"/>
        <w:ind w:firstLine="420"/>
        <w:rPr>
          <w:color w:val="000000"/>
          <w:szCs w:val="21"/>
        </w:rPr>
      </w:pPr>
      <w:r>
        <w:rPr>
          <w:color w:val="000000"/>
          <w:szCs w:val="21"/>
        </w:rPr>
        <w:t>本标准的实施监督管理部门为工业和信息化部。</w:t>
      </w:r>
    </w:p>
    <w:p>
      <w:pPr>
        <w:spacing w:line="300" w:lineRule="auto"/>
        <w:ind w:firstLine="420"/>
        <w:rPr>
          <w:color w:val="000000"/>
          <w:szCs w:val="21"/>
        </w:rPr>
      </w:pPr>
      <w:r>
        <w:rPr>
          <w:color w:val="000000"/>
          <w:szCs w:val="21"/>
        </w:rPr>
        <w:t>工业和信息化部发布了《道路机动车辆生产企业及产品准入管理办法》（工业和信息化部令第 50 号），通过《道路机动车辆生产企业及产品公告》对道路机动车辆生产企业及产品进行准入管理。本强制性国家标准将纳入该管理体系，由工业和信息化部依据本标准对相关产品进行准入管理，并依法对违反强制性国家标准的行为进行处理。</w:t>
      </w:r>
    </w:p>
    <w:p>
      <w:pPr>
        <w:spacing w:line="300" w:lineRule="auto"/>
        <w:ind w:firstLine="420"/>
        <w:rPr>
          <w:color w:val="000000"/>
          <w:szCs w:val="21"/>
        </w:rPr>
      </w:pPr>
      <w:r>
        <w:rPr>
          <w:color w:val="000000"/>
          <w:szCs w:val="21"/>
        </w:rPr>
        <w:t>《中华人民共和国标准化法》第二十五条规定“不符合强制性标准的产品、服务，不得生产、销售、进口或者提供”；第三十六条规定“生产、销售、进口产品或者提供服务不符合强制性标准，或者企业生产的产品、提供的服务不符合其公开标准的技术要求的，依法承担民事责任”。</w:t>
      </w:r>
    </w:p>
    <w:p>
      <w:pPr>
        <w:spacing w:line="300" w:lineRule="auto"/>
        <w:ind w:firstLine="420"/>
        <w:rPr>
          <w:color w:val="000000"/>
          <w:szCs w:val="21"/>
        </w:rPr>
      </w:pPr>
      <w:r>
        <w:rPr>
          <w:color w:val="000000"/>
          <w:szCs w:val="21"/>
        </w:rPr>
        <w:t>《中华人民共和国产品质量法》第十三条明确规定，“可能危及人体健康和人身、财产安全的工业产品，必须符合保障人体健康和人身、财产安全的国家标准、行业标准”。</w:t>
      </w:r>
    </w:p>
    <w:p>
      <w:pPr>
        <w:spacing w:line="300" w:lineRule="auto"/>
        <w:ind w:firstLine="420"/>
        <w:rPr>
          <w:color w:val="000000"/>
          <w:szCs w:val="21"/>
        </w:rPr>
      </w:pPr>
      <w:r>
        <w:rPr>
          <w:color w:val="000000"/>
          <w:szCs w:val="21"/>
        </w:rPr>
        <w:t>工业和信息化部发布的《车辆生产企业及产品生产一致性监督管理办法》中也明确提出，“工业和信息化部通过生产一致性监督检查，确认车辆生产企业生产和销售的产品是否符合一致性要求，是否符合国家政策和管理规定以及强制性标准、法规要求”。</w:t>
      </w:r>
    </w:p>
    <w:p>
      <w:pPr>
        <w:autoSpaceDE w:val="0"/>
        <w:autoSpaceDN w:val="0"/>
        <w:adjustRightInd w:val="0"/>
        <w:spacing w:line="400" w:lineRule="exact"/>
        <w:ind w:firstLine="480"/>
        <w:jc w:val="left"/>
        <w:outlineLvl w:val="0"/>
        <w:rPr>
          <w:rFonts w:eastAsia="黑体"/>
          <w:bCs/>
          <w:color w:val="000000"/>
          <w:kern w:val="0"/>
          <w:sz w:val="24"/>
        </w:rPr>
      </w:pPr>
      <w:bookmarkStart w:id="29" w:name="_Toc64898482"/>
      <w:r>
        <w:rPr>
          <w:rFonts w:hint="eastAsia" w:eastAsia="黑体"/>
          <w:bCs/>
          <w:color w:val="000000"/>
          <w:kern w:val="0"/>
          <w:sz w:val="24"/>
        </w:rPr>
        <w:t>八、</w:t>
      </w:r>
      <w:r>
        <w:rPr>
          <w:rFonts w:eastAsia="黑体"/>
          <w:bCs/>
          <w:color w:val="000000"/>
          <w:kern w:val="0"/>
          <w:sz w:val="24"/>
        </w:rPr>
        <w:t>是否需要对外通报的建议及理由</w:t>
      </w:r>
      <w:bookmarkEnd w:id="29"/>
    </w:p>
    <w:p>
      <w:pPr>
        <w:spacing w:line="300" w:lineRule="auto"/>
        <w:ind w:firstLine="420"/>
        <w:rPr>
          <w:color w:val="000000"/>
          <w:szCs w:val="21"/>
        </w:rPr>
      </w:pPr>
      <w:r>
        <w:rPr>
          <w:color w:val="000000"/>
          <w:szCs w:val="21"/>
        </w:rPr>
        <w:t>本标准为强制性国家标准，部分技术条款与国际标准或者与有关国际标准技术要求不完全一致，且本标准涉及人身健康和生命财产安全，依据《强制性国家标准管理办法》与世界贸易组织的要求，需要进行WTO/TBT通报。</w:t>
      </w:r>
    </w:p>
    <w:p>
      <w:pPr>
        <w:autoSpaceDE w:val="0"/>
        <w:autoSpaceDN w:val="0"/>
        <w:adjustRightInd w:val="0"/>
        <w:spacing w:line="400" w:lineRule="exact"/>
        <w:ind w:firstLine="480"/>
        <w:jc w:val="left"/>
        <w:outlineLvl w:val="0"/>
        <w:rPr>
          <w:rFonts w:eastAsia="黑体"/>
          <w:bCs/>
          <w:color w:val="000000"/>
          <w:kern w:val="0"/>
          <w:sz w:val="24"/>
        </w:rPr>
      </w:pPr>
      <w:bookmarkStart w:id="30" w:name="_Toc64898483"/>
      <w:r>
        <w:rPr>
          <w:rFonts w:hint="eastAsia" w:eastAsia="黑体"/>
          <w:bCs/>
          <w:color w:val="000000"/>
          <w:kern w:val="0"/>
          <w:sz w:val="24"/>
        </w:rPr>
        <w:t>九、</w:t>
      </w:r>
      <w:r>
        <w:rPr>
          <w:rFonts w:eastAsia="黑体"/>
          <w:bCs/>
          <w:color w:val="000000"/>
          <w:kern w:val="0"/>
          <w:sz w:val="24"/>
        </w:rPr>
        <w:t>废止现行有关标准的建议</w:t>
      </w:r>
      <w:bookmarkEnd w:id="30"/>
    </w:p>
    <w:p>
      <w:pPr>
        <w:pStyle w:val="21"/>
        <w:tabs>
          <w:tab w:val="center" w:pos="4201"/>
          <w:tab w:val="right" w:leader="dot" w:pos="9298"/>
        </w:tabs>
        <w:ind w:firstLine="420"/>
        <w:outlineLvl w:val="9"/>
        <w:rPr>
          <w:rFonts w:ascii="Times New Roman" w:hAnsi="Times New Roman" w:eastAsia="黑体" w:cs="Times New Roman"/>
          <w:bCs/>
          <w:color w:val="000000"/>
          <w:sz w:val="24"/>
        </w:rPr>
      </w:pPr>
      <w:r>
        <w:rPr>
          <w:rFonts w:ascii="Times New Roman" w:hAnsi="Times New Roman" w:cs="Times New Roman"/>
          <w:color w:val="000000"/>
        </w:rPr>
        <w:t>本标准发布后，GB/T 24550-2009标准废止。</w:t>
      </w:r>
    </w:p>
    <w:p>
      <w:pPr>
        <w:autoSpaceDE w:val="0"/>
        <w:autoSpaceDN w:val="0"/>
        <w:adjustRightInd w:val="0"/>
        <w:spacing w:line="400" w:lineRule="exact"/>
        <w:ind w:firstLine="480"/>
        <w:jc w:val="left"/>
        <w:outlineLvl w:val="0"/>
        <w:rPr>
          <w:rFonts w:eastAsia="黑体"/>
          <w:bCs/>
          <w:color w:val="000000"/>
          <w:kern w:val="0"/>
          <w:sz w:val="24"/>
        </w:rPr>
      </w:pPr>
      <w:bookmarkStart w:id="31" w:name="_Toc64898484"/>
      <w:r>
        <w:rPr>
          <w:rFonts w:hint="eastAsia" w:eastAsia="黑体"/>
          <w:bCs/>
          <w:color w:val="000000"/>
          <w:kern w:val="0"/>
          <w:sz w:val="24"/>
        </w:rPr>
        <w:t>十、</w:t>
      </w:r>
      <w:r>
        <w:rPr>
          <w:rFonts w:eastAsia="黑体"/>
          <w:bCs/>
          <w:color w:val="000000"/>
          <w:kern w:val="0"/>
          <w:sz w:val="24"/>
        </w:rPr>
        <w:t>涉及专利的有关说明</w:t>
      </w:r>
      <w:bookmarkEnd w:id="31"/>
    </w:p>
    <w:p>
      <w:pPr>
        <w:pStyle w:val="21"/>
        <w:tabs>
          <w:tab w:val="center" w:pos="4201"/>
          <w:tab w:val="right" w:leader="dot" w:pos="9298"/>
        </w:tabs>
        <w:ind w:firstLine="420"/>
        <w:outlineLvl w:val="9"/>
        <w:rPr>
          <w:rFonts w:ascii="Times New Roman" w:hAnsi="Times New Roman" w:cs="Times New Roman"/>
          <w:color w:val="000000"/>
        </w:rPr>
      </w:pPr>
      <w:r>
        <w:rPr>
          <w:rFonts w:ascii="Times New Roman" w:hAnsi="Times New Roman" w:cs="Times New Roman"/>
          <w:color w:val="000000"/>
        </w:rPr>
        <w:t>本标准经评估不涉及专利问题。</w:t>
      </w:r>
    </w:p>
    <w:p>
      <w:pPr>
        <w:autoSpaceDE w:val="0"/>
        <w:autoSpaceDN w:val="0"/>
        <w:adjustRightInd w:val="0"/>
        <w:spacing w:line="400" w:lineRule="exact"/>
        <w:ind w:firstLine="480"/>
        <w:jc w:val="left"/>
        <w:outlineLvl w:val="0"/>
        <w:rPr>
          <w:rFonts w:eastAsia="黑体"/>
          <w:bCs/>
          <w:color w:val="000000"/>
          <w:kern w:val="0"/>
          <w:sz w:val="24"/>
        </w:rPr>
      </w:pPr>
      <w:bookmarkStart w:id="32" w:name="_Toc64898485"/>
      <w:r>
        <w:rPr>
          <w:rFonts w:hint="eastAsia" w:eastAsia="黑体"/>
          <w:bCs/>
          <w:color w:val="000000"/>
          <w:kern w:val="0"/>
          <w:sz w:val="24"/>
        </w:rPr>
        <w:t>十一、</w:t>
      </w:r>
      <w:r>
        <w:rPr>
          <w:rFonts w:eastAsia="黑体"/>
          <w:bCs/>
          <w:color w:val="000000"/>
          <w:kern w:val="0"/>
          <w:sz w:val="24"/>
        </w:rPr>
        <w:t>强制性国家标准所涉及的产品、过程或者服务目录</w:t>
      </w:r>
      <w:bookmarkEnd w:id="32"/>
    </w:p>
    <w:p>
      <w:pPr>
        <w:spacing w:line="300" w:lineRule="auto"/>
        <w:ind w:firstLine="420"/>
        <w:rPr>
          <w:color w:val="000000"/>
          <w:szCs w:val="21"/>
        </w:rPr>
      </w:pPr>
      <w:r>
        <w:rPr>
          <w:color w:val="000000"/>
          <w:szCs w:val="21"/>
        </w:rPr>
        <w:t>本标准所规范的产品产品、过程或服务，主要是M</w:t>
      </w:r>
      <w:r>
        <w:rPr>
          <w:color w:val="000000"/>
          <w:szCs w:val="21"/>
          <w:vertAlign w:val="subscript"/>
        </w:rPr>
        <w:t>1</w:t>
      </w:r>
      <w:r>
        <w:rPr>
          <w:color w:val="000000"/>
          <w:szCs w:val="21"/>
        </w:rPr>
        <w:t>和N</w:t>
      </w:r>
      <w:r>
        <w:rPr>
          <w:color w:val="000000"/>
          <w:szCs w:val="21"/>
          <w:vertAlign w:val="subscript"/>
        </w:rPr>
        <w:t>1</w:t>
      </w:r>
      <w:r>
        <w:rPr>
          <w:color w:val="000000"/>
          <w:szCs w:val="21"/>
        </w:rPr>
        <w:t>类汽车，但不包括最大总质量不小于2500 kg且驾驶员座椅R点在前轴中心横向平面之前或驾驶员座椅R点与前轴中心横向平面的水平距离不大于1100 ㎜的M</w:t>
      </w:r>
      <w:r>
        <w:rPr>
          <w:color w:val="000000"/>
          <w:szCs w:val="21"/>
          <w:vertAlign w:val="subscript"/>
        </w:rPr>
        <w:t>1</w:t>
      </w:r>
      <w:r>
        <w:rPr>
          <w:color w:val="000000"/>
          <w:szCs w:val="21"/>
        </w:rPr>
        <w:t>类车辆，以及驾驶员座椅R点在前轴中心横向平面之前或驾驶员座椅R点与前轴中心横向平面的水平距离不大于1100 ㎜的N</w:t>
      </w:r>
      <w:r>
        <w:rPr>
          <w:color w:val="000000"/>
          <w:szCs w:val="21"/>
          <w:vertAlign w:val="subscript"/>
        </w:rPr>
        <w:t>1</w:t>
      </w:r>
      <w:r>
        <w:rPr>
          <w:color w:val="000000"/>
          <w:szCs w:val="21"/>
        </w:rPr>
        <w:t>类车辆，为该类车型对行人的碰撞保护提供产品设计过程规范。</w:t>
      </w:r>
    </w:p>
    <w:p>
      <w:pPr>
        <w:autoSpaceDE w:val="0"/>
        <w:autoSpaceDN w:val="0"/>
        <w:adjustRightInd w:val="0"/>
        <w:spacing w:line="400" w:lineRule="exact"/>
        <w:ind w:firstLine="480"/>
        <w:jc w:val="left"/>
        <w:outlineLvl w:val="0"/>
        <w:rPr>
          <w:rFonts w:eastAsia="黑体"/>
          <w:bCs/>
          <w:color w:val="000000"/>
          <w:kern w:val="0"/>
          <w:sz w:val="24"/>
        </w:rPr>
      </w:pPr>
      <w:bookmarkStart w:id="33" w:name="_Toc64898486"/>
      <w:r>
        <w:rPr>
          <w:rFonts w:hint="eastAsia" w:eastAsia="黑体"/>
          <w:bCs/>
          <w:color w:val="000000"/>
          <w:kern w:val="0"/>
          <w:sz w:val="24"/>
        </w:rPr>
        <w:t>十二、</w:t>
      </w:r>
      <w:r>
        <w:rPr>
          <w:rFonts w:eastAsia="黑体"/>
          <w:bCs/>
          <w:color w:val="000000"/>
          <w:kern w:val="0"/>
          <w:sz w:val="24"/>
        </w:rPr>
        <w:t>其他应当予以说明的事项</w:t>
      </w:r>
      <w:bookmarkEnd w:id="19"/>
      <w:bookmarkEnd w:id="33"/>
    </w:p>
    <w:p>
      <w:pPr>
        <w:spacing w:line="400" w:lineRule="exact"/>
        <w:ind w:firstLine="420"/>
      </w:pPr>
      <w:r>
        <w:t>无。</w:t>
      </w:r>
    </w:p>
    <w:p>
      <w:pPr>
        <w:ind w:firstLine="0" w:firstLineChars="0"/>
        <w:rPr>
          <w:sz w:val="22"/>
          <w:szCs w:val="22"/>
        </w:rPr>
      </w:pPr>
    </w:p>
    <w:p>
      <w:pPr>
        <w:ind w:firstLine="0" w:firstLineChars="0"/>
        <w:jc w:val="right"/>
        <w:rPr>
          <w:sz w:val="22"/>
          <w:szCs w:val="22"/>
        </w:rPr>
      </w:pPr>
    </w:p>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DejaVu Sans">
    <w:panose1 w:val="020B0603030804020204"/>
    <w:charset w:val="00"/>
    <w:family w:val="roman"/>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Light">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30935723"/>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sdt>
                    <w:sdtPr>
                      <w:id w:val="430935723"/>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3579138"/>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R+mXFQIAABs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cR+mXFQIAABsEAAAOAAAAAAAAAAEAIAAAADUBAABkcnMvZTJvRG9jLnhtbFBLBQYAAAAABgAG&#10;AFkBAAC8BQAAAAA=&#10;">
              <v:fill on="f" focussize="0,0"/>
              <v:stroke on="f" weight="0.5pt"/>
              <v:imagedata o:title=""/>
              <o:lock v:ext="edit" aspectratio="f"/>
              <v:textbox inset="0mm,0mm,0mm,0mm" style="mso-fit-shape-to-text:t;">
                <w:txbxContent>
                  <w:sdt>
                    <w:sdtPr>
                      <w:id w:val="1123579138"/>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7"/>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DBDAA"/>
    <w:multiLevelType w:val="singleLevel"/>
    <w:tmpl w:val="BBDDBDAA"/>
    <w:lvl w:ilvl="0" w:tentative="0">
      <w:start w:val="4"/>
      <w:numFmt w:val="decimal"/>
      <w:suff w:val="nothing"/>
      <w:lvlText w:val="（%1）"/>
      <w:lvlJc w:val="left"/>
    </w:lvl>
  </w:abstractNum>
  <w:abstractNum w:abstractNumId="1">
    <w:nsid w:val="2C5917C3"/>
    <w:multiLevelType w:val="multilevel"/>
    <w:tmpl w:val="2C5917C3"/>
    <w:lvl w:ilvl="0" w:tentative="0">
      <w:start w:val="1"/>
      <w:numFmt w:val="none"/>
      <w:pStyle w:val="24"/>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44C50F90"/>
    <w:multiLevelType w:val="multilevel"/>
    <w:tmpl w:val="44C50F90"/>
    <w:lvl w:ilvl="0" w:tentative="0">
      <w:start w:val="1"/>
      <w:numFmt w:val="lowerLetter"/>
      <w:pStyle w:val="25"/>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true"/>
  <w:bordersDoNotSurroundFooter w:val="true"/>
  <w:trackRevisions w:val="true"/>
  <w:documentProtection w:enforcement="0"/>
  <w:defaultTabStop w:val="420"/>
  <w:drawingGridHorizontalSpacing w:val="105"/>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45"/>
    <w:rsid w:val="00031E7E"/>
    <w:rsid w:val="000F43EC"/>
    <w:rsid w:val="00114B25"/>
    <w:rsid w:val="00157370"/>
    <w:rsid w:val="00167B0A"/>
    <w:rsid w:val="001A46CF"/>
    <w:rsid w:val="001A76C2"/>
    <w:rsid w:val="00200292"/>
    <w:rsid w:val="00202050"/>
    <w:rsid w:val="00260138"/>
    <w:rsid w:val="00280CC2"/>
    <w:rsid w:val="002A65E3"/>
    <w:rsid w:val="002D2EDE"/>
    <w:rsid w:val="002E6832"/>
    <w:rsid w:val="002F2D31"/>
    <w:rsid w:val="00345D93"/>
    <w:rsid w:val="0038380F"/>
    <w:rsid w:val="0038645F"/>
    <w:rsid w:val="003B5FFC"/>
    <w:rsid w:val="004336A8"/>
    <w:rsid w:val="004470EC"/>
    <w:rsid w:val="004603C7"/>
    <w:rsid w:val="004869F5"/>
    <w:rsid w:val="00491213"/>
    <w:rsid w:val="00497A60"/>
    <w:rsid w:val="004C7747"/>
    <w:rsid w:val="004F563E"/>
    <w:rsid w:val="00540160"/>
    <w:rsid w:val="00552A94"/>
    <w:rsid w:val="00557B2B"/>
    <w:rsid w:val="005B19DC"/>
    <w:rsid w:val="005C7630"/>
    <w:rsid w:val="005D1FDE"/>
    <w:rsid w:val="005D6834"/>
    <w:rsid w:val="005E5508"/>
    <w:rsid w:val="005F563D"/>
    <w:rsid w:val="005F70D9"/>
    <w:rsid w:val="0065757C"/>
    <w:rsid w:val="00661083"/>
    <w:rsid w:val="0068575E"/>
    <w:rsid w:val="0069495C"/>
    <w:rsid w:val="006C72E0"/>
    <w:rsid w:val="006E256C"/>
    <w:rsid w:val="006F3843"/>
    <w:rsid w:val="00705B04"/>
    <w:rsid w:val="00760DD4"/>
    <w:rsid w:val="00776C0C"/>
    <w:rsid w:val="00792D6C"/>
    <w:rsid w:val="007C129F"/>
    <w:rsid w:val="007C1F78"/>
    <w:rsid w:val="008045A0"/>
    <w:rsid w:val="00814265"/>
    <w:rsid w:val="00820218"/>
    <w:rsid w:val="00841A6D"/>
    <w:rsid w:val="00847603"/>
    <w:rsid w:val="00892845"/>
    <w:rsid w:val="008974A8"/>
    <w:rsid w:val="008A6BA1"/>
    <w:rsid w:val="008A6F98"/>
    <w:rsid w:val="008C09FD"/>
    <w:rsid w:val="00945B03"/>
    <w:rsid w:val="00952EAE"/>
    <w:rsid w:val="009535F8"/>
    <w:rsid w:val="0095555A"/>
    <w:rsid w:val="009656D2"/>
    <w:rsid w:val="009D4CD2"/>
    <w:rsid w:val="00A2748A"/>
    <w:rsid w:val="00A36008"/>
    <w:rsid w:val="00A730F6"/>
    <w:rsid w:val="00A83352"/>
    <w:rsid w:val="00AD6B5B"/>
    <w:rsid w:val="00AF56C1"/>
    <w:rsid w:val="00B1292A"/>
    <w:rsid w:val="00B52C83"/>
    <w:rsid w:val="00B65D98"/>
    <w:rsid w:val="00B93CF6"/>
    <w:rsid w:val="00BA6A2A"/>
    <w:rsid w:val="00BB727F"/>
    <w:rsid w:val="00BD2615"/>
    <w:rsid w:val="00BE7A03"/>
    <w:rsid w:val="00BF4141"/>
    <w:rsid w:val="00C1095F"/>
    <w:rsid w:val="00C130B5"/>
    <w:rsid w:val="00C65DF4"/>
    <w:rsid w:val="00C75369"/>
    <w:rsid w:val="00CB50BF"/>
    <w:rsid w:val="00CB64FA"/>
    <w:rsid w:val="00D05B63"/>
    <w:rsid w:val="00D2752D"/>
    <w:rsid w:val="00D5775D"/>
    <w:rsid w:val="00D8339D"/>
    <w:rsid w:val="00DB7620"/>
    <w:rsid w:val="00E422BA"/>
    <w:rsid w:val="00E774BD"/>
    <w:rsid w:val="00EA7758"/>
    <w:rsid w:val="00EB3970"/>
    <w:rsid w:val="00EB428A"/>
    <w:rsid w:val="00EB70F3"/>
    <w:rsid w:val="00EF600F"/>
    <w:rsid w:val="00F104F5"/>
    <w:rsid w:val="00F315D1"/>
    <w:rsid w:val="00F6014B"/>
    <w:rsid w:val="00F9114D"/>
    <w:rsid w:val="00FB180E"/>
    <w:rsid w:val="00FF7D3C"/>
    <w:rsid w:val="01185408"/>
    <w:rsid w:val="01E34317"/>
    <w:rsid w:val="024F132C"/>
    <w:rsid w:val="02D90FEC"/>
    <w:rsid w:val="02FA7B80"/>
    <w:rsid w:val="030765D9"/>
    <w:rsid w:val="038D6616"/>
    <w:rsid w:val="03995DBC"/>
    <w:rsid w:val="03FF2E5E"/>
    <w:rsid w:val="044C04D3"/>
    <w:rsid w:val="05086626"/>
    <w:rsid w:val="064956F9"/>
    <w:rsid w:val="080E2BF3"/>
    <w:rsid w:val="08F9134D"/>
    <w:rsid w:val="09001E46"/>
    <w:rsid w:val="093D3102"/>
    <w:rsid w:val="09D40B5D"/>
    <w:rsid w:val="0AD17B99"/>
    <w:rsid w:val="0B640A8A"/>
    <w:rsid w:val="0FF232E6"/>
    <w:rsid w:val="115B5201"/>
    <w:rsid w:val="115C7F43"/>
    <w:rsid w:val="126A2138"/>
    <w:rsid w:val="12B03231"/>
    <w:rsid w:val="13244CF2"/>
    <w:rsid w:val="140A5EFB"/>
    <w:rsid w:val="14FE2F34"/>
    <w:rsid w:val="155D5CAB"/>
    <w:rsid w:val="157C1D52"/>
    <w:rsid w:val="15E22623"/>
    <w:rsid w:val="167104F7"/>
    <w:rsid w:val="18EA4D7D"/>
    <w:rsid w:val="18F4656C"/>
    <w:rsid w:val="199E6ED9"/>
    <w:rsid w:val="19B7779C"/>
    <w:rsid w:val="19B9084E"/>
    <w:rsid w:val="1A4D47B7"/>
    <w:rsid w:val="1B5A1C08"/>
    <w:rsid w:val="1B804BCF"/>
    <w:rsid w:val="1CB466FF"/>
    <w:rsid w:val="1D7604F6"/>
    <w:rsid w:val="1E245ADD"/>
    <w:rsid w:val="20471513"/>
    <w:rsid w:val="218574D3"/>
    <w:rsid w:val="2217710F"/>
    <w:rsid w:val="23070927"/>
    <w:rsid w:val="23AB4460"/>
    <w:rsid w:val="2489526F"/>
    <w:rsid w:val="25140F3C"/>
    <w:rsid w:val="2643327B"/>
    <w:rsid w:val="281909F1"/>
    <w:rsid w:val="2A5727AF"/>
    <w:rsid w:val="2AB32689"/>
    <w:rsid w:val="2AD93E95"/>
    <w:rsid w:val="2B787787"/>
    <w:rsid w:val="2D8B4759"/>
    <w:rsid w:val="2E6A7620"/>
    <w:rsid w:val="2EBF37E9"/>
    <w:rsid w:val="2F35288F"/>
    <w:rsid w:val="2F990A54"/>
    <w:rsid w:val="30522705"/>
    <w:rsid w:val="30C31BCB"/>
    <w:rsid w:val="311C4495"/>
    <w:rsid w:val="312A4A7E"/>
    <w:rsid w:val="326C2C3C"/>
    <w:rsid w:val="32A73FB6"/>
    <w:rsid w:val="33297FEC"/>
    <w:rsid w:val="3350319C"/>
    <w:rsid w:val="33957E07"/>
    <w:rsid w:val="33E426CE"/>
    <w:rsid w:val="3419356A"/>
    <w:rsid w:val="34655B8C"/>
    <w:rsid w:val="346F14F6"/>
    <w:rsid w:val="34A40891"/>
    <w:rsid w:val="36FE0D7A"/>
    <w:rsid w:val="38A31492"/>
    <w:rsid w:val="38EA5E60"/>
    <w:rsid w:val="39EF3C3D"/>
    <w:rsid w:val="3A531EA0"/>
    <w:rsid w:val="3A843517"/>
    <w:rsid w:val="3AFD26F1"/>
    <w:rsid w:val="3B780925"/>
    <w:rsid w:val="3BC834A9"/>
    <w:rsid w:val="3C93671E"/>
    <w:rsid w:val="3DA66821"/>
    <w:rsid w:val="3E135E63"/>
    <w:rsid w:val="3E217DBA"/>
    <w:rsid w:val="3E370510"/>
    <w:rsid w:val="3EB9532C"/>
    <w:rsid w:val="3FD61242"/>
    <w:rsid w:val="404D6039"/>
    <w:rsid w:val="414A4189"/>
    <w:rsid w:val="42C34C4F"/>
    <w:rsid w:val="45105CC5"/>
    <w:rsid w:val="458C34AA"/>
    <w:rsid w:val="45C43FCA"/>
    <w:rsid w:val="46F624A9"/>
    <w:rsid w:val="47A750BD"/>
    <w:rsid w:val="4A173D91"/>
    <w:rsid w:val="4B8F2242"/>
    <w:rsid w:val="4C403031"/>
    <w:rsid w:val="4D026AE2"/>
    <w:rsid w:val="4DB72DDD"/>
    <w:rsid w:val="4DDD5616"/>
    <w:rsid w:val="4E9A4EBD"/>
    <w:rsid w:val="4F6E0B03"/>
    <w:rsid w:val="5169644A"/>
    <w:rsid w:val="530A4FA9"/>
    <w:rsid w:val="53C479A6"/>
    <w:rsid w:val="53FB4237"/>
    <w:rsid w:val="54A04778"/>
    <w:rsid w:val="55B50191"/>
    <w:rsid w:val="56E6273D"/>
    <w:rsid w:val="571B2D75"/>
    <w:rsid w:val="578C4131"/>
    <w:rsid w:val="57B026BD"/>
    <w:rsid w:val="585B5E9E"/>
    <w:rsid w:val="588A2950"/>
    <w:rsid w:val="58AC1652"/>
    <w:rsid w:val="58CB14AF"/>
    <w:rsid w:val="59D029D4"/>
    <w:rsid w:val="5A9F3BDB"/>
    <w:rsid w:val="5B4201CC"/>
    <w:rsid w:val="5B61512D"/>
    <w:rsid w:val="5CE2066C"/>
    <w:rsid w:val="5D221F65"/>
    <w:rsid w:val="5EF50431"/>
    <w:rsid w:val="5EF54A1F"/>
    <w:rsid w:val="5F366F95"/>
    <w:rsid w:val="5F64044F"/>
    <w:rsid w:val="605A37AF"/>
    <w:rsid w:val="61017BF7"/>
    <w:rsid w:val="612B3AAD"/>
    <w:rsid w:val="61315EE0"/>
    <w:rsid w:val="619E3CCE"/>
    <w:rsid w:val="62EA647F"/>
    <w:rsid w:val="62FC341C"/>
    <w:rsid w:val="63A23FB9"/>
    <w:rsid w:val="63EB0452"/>
    <w:rsid w:val="66787C70"/>
    <w:rsid w:val="66B0485C"/>
    <w:rsid w:val="673F12D5"/>
    <w:rsid w:val="68AF2205"/>
    <w:rsid w:val="6918707A"/>
    <w:rsid w:val="6A700899"/>
    <w:rsid w:val="6AAC336C"/>
    <w:rsid w:val="6B312BEF"/>
    <w:rsid w:val="6C564E15"/>
    <w:rsid w:val="6CAB1E4F"/>
    <w:rsid w:val="6EAD2ECA"/>
    <w:rsid w:val="6EEB5B79"/>
    <w:rsid w:val="6F34056E"/>
    <w:rsid w:val="6F5B4733"/>
    <w:rsid w:val="6F7063C7"/>
    <w:rsid w:val="6FE965A0"/>
    <w:rsid w:val="6FF1233B"/>
    <w:rsid w:val="71295105"/>
    <w:rsid w:val="732438C2"/>
    <w:rsid w:val="73825D62"/>
    <w:rsid w:val="73942BEE"/>
    <w:rsid w:val="739F6992"/>
    <w:rsid w:val="75F075C1"/>
    <w:rsid w:val="75FE9D90"/>
    <w:rsid w:val="76AE15F9"/>
    <w:rsid w:val="77B57106"/>
    <w:rsid w:val="77FD89BD"/>
    <w:rsid w:val="79FE1643"/>
    <w:rsid w:val="7A0518E5"/>
    <w:rsid w:val="7A40617C"/>
    <w:rsid w:val="7AE56CE7"/>
    <w:rsid w:val="7C1F1512"/>
    <w:rsid w:val="7C7E7A34"/>
    <w:rsid w:val="7D51096E"/>
    <w:rsid w:val="7D8E49DC"/>
    <w:rsid w:val="7EB97982"/>
    <w:rsid w:val="7ECF020D"/>
    <w:rsid w:val="7FE76E1C"/>
    <w:rsid w:val="EFAF86B5"/>
    <w:rsid w:val="F75B3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DejaVu Sans" w:hAnsi="DejaVu Sans" w:eastAsia="方正黑体_GBK"/>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Normal (Web)"/>
    <w:basedOn w:val="1"/>
    <w:semiHidden/>
    <w:unhideWhenUsed/>
    <w:qFormat/>
    <w:uiPriority w:val="99"/>
    <w:pPr>
      <w:spacing w:beforeAutospacing="1" w:afterAutospacing="1"/>
      <w:jc w:val="left"/>
    </w:pPr>
    <w:rPr>
      <w:kern w:val="0"/>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8">
    <w:name w:val="标题 1 字符"/>
    <w:basedOn w:val="12"/>
    <w:link w:val="2"/>
    <w:qFormat/>
    <w:uiPriority w:val="9"/>
    <w:rPr>
      <w:rFonts w:ascii="Times New Roman" w:hAnsi="Times New Roman" w:eastAsia="宋体" w:cs="Times New Roman"/>
      <w:b/>
      <w:bCs/>
      <w:kern w:val="44"/>
      <w:sz w:val="44"/>
      <w:szCs w:val="44"/>
    </w:rPr>
  </w:style>
  <w:style w:type="paragraph" w:customStyle="1" w:styleId="19">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0">
    <w:name w:val="List Paragraph"/>
    <w:basedOn w:val="1"/>
    <w:qFormat/>
    <w:uiPriority w:val="34"/>
    <w:pPr>
      <w:ind w:firstLine="420"/>
    </w:pPr>
  </w:style>
  <w:style w:type="paragraph" w:customStyle="1" w:styleId="21">
    <w:name w:val="三级无"/>
    <w:basedOn w:val="1"/>
    <w:qFormat/>
    <w:uiPriority w:val="0"/>
    <w:pPr>
      <w:widowControl/>
      <w:spacing w:line="240" w:lineRule="auto"/>
      <w:jc w:val="left"/>
      <w:outlineLvl w:val="4"/>
    </w:pPr>
    <w:rPr>
      <w:rFonts w:ascii="宋体" w:hAnsi="黑体" w:cs="宋体"/>
      <w:kern w:val="0"/>
    </w:rPr>
  </w:style>
  <w:style w:type="paragraph" w:customStyle="1" w:styleId="2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3">
    <w:name w:val="标准文件_段 Char"/>
    <w:basedOn w:val="12"/>
    <w:qFormat/>
    <w:uiPriority w:val="0"/>
    <w:rPr>
      <w:rFonts w:hint="eastAsia" w:ascii="宋体" w:hAnsi="Times New Roman" w:eastAsia="宋体" w:cs="宋体"/>
      <w:sz w:val="21"/>
    </w:rPr>
  </w:style>
  <w:style w:type="paragraph" w:customStyle="1" w:styleId="24">
    <w:name w:val="标准文件_一级项"/>
    <w:qFormat/>
    <w:uiPriority w:val="0"/>
    <w:pPr>
      <w:numPr>
        <w:ilvl w:val="0"/>
        <w:numId w:val="1"/>
      </w:numPr>
    </w:pPr>
    <w:rPr>
      <w:rFonts w:ascii="宋体" w:hAnsi="Times New Roman" w:eastAsia="宋体" w:cs="Times New Roman"/>
      <w:sz w:val="21"/>
      <w:lang w:val="en-US" w:eastAsia="zh-CN" w:bidi="ar-SA"/>
    </w:rPr>
  </w:style>
  <w:style w:type="paragraph" w:customStyle="1" w:styleId="25">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emf"/><Relationship Id="rId42" Type="http://schemas.openxmlformats.org/officeDocument/2006/relationships/image" Target="media/image32.emf"/><Relationship Id="rId41" Type="http://schemas.openxmlformats.org/officeDocument/2006/relationships/image" Target="media/image31.emf"/><Relationship Id="rId40" Type="http://schemas.openxmlformats.org/officeDocument/2006/relationships/image" Target="media/image30.emf"/><Relationship Id="rId4" Type="http://schemas.openxmlformats.org/officeDocument/2006/relationships/endnotes" Target="endnotes.xml"/><Relationship Id="rId39" Type="http://schemas.openxmlformats.org/officeDocument/2006/relationships/image" Target="media/image29.emf"/><Relationship Id="rId38" Type="http://schemas.openxmlformats.org/officeDocument/2006/relationships/image" Target="media/image28.emf"/><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1607</Words>
  <Characters>9160</Characters>
  <Lines>76</Lines>
  <Paragraphs>21</Paragraphs>
  <TotalTime>1</TotalTime>
  <ScaleCrop>false</ScaleCrop>
  <LinksUpToDate>false</LinksUpToDate>
  <CharactersWithSpaces>10746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2021-02-23T05:52:00Z</dcterms:created>
  <dc:creator>李云伟</dc:creator>
  <cp:lastModifiedBy>kylin</cp:lastModifiedBy>
  <cp:lastPrinted>2021-09-13T21:06:00Z</cp:lastPrinted>
  <dcterms:modified xsi:type="dcterms:W3CDTF">2021-09-17T08:09:28Z</dcterms:modified>
  <cp:revision>236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EE702AEA9BFE471E969BF7DE874CF144</vt:lpwstr>
  </property>
</Properties>
</file>