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00" w:lineRule="exact"/>
        <w:ind w:firstLine="0" w:firstLineChars="0"/>
        <w:jc w:val="center"/>
        <w:outlineLvl w:val="0"/>
        <w:rPr>
          <w:rFonts w:eastAsia="黑体"/>
          <w:color w:val="000000"/>
          <w:kern w:val="0"/>
          <w:sz w:val="32"/>
          <w:szCs w:val="32"/>
        </w:rPr>
      </w:pPr>
      <w:bookmarkStart w:id="0" w:name="_Toc28374"/>
      <w:bookmarkStart w:id="1" w:name="_Toc36212235"/>
      <w:bookmarkStart w:id="2" w:name="_Toc64898472"/>
      <w:bookmarkStart w:id="3" w:name="_Toc28417"/>
      <w:bookmarkStart w:id="4" w:name="_Toc30310"/>
      <w:r>
        <w:rPr>
          <w:rFonts w:eastAsia="黑体"/>
          <w:color w:val="000000"/>
          <w:kern w:val="0"/>
          <w:sz w:val="32"/>
          <w:szCs w:val="32"/>
        </w:rPr>
        <w:t>《</w:t>
      </w:r>
      <w:r>
        <w:rPr>
          <w:rFonts w:hint="eastAsia" w:eastAsia="黑体"/>
          <w:color w:val="000000"/>
          <w:kern w:val="0"/>
          <w:sz w:val="32"/>
          <w:szCs w:val="32"/>
        </w:rPr>
        <w:t>机动车乘员用安全带和约束系统安装固定点</w:t>
      </w:r>
      <w:r>
        <w:rPr>
          <w:rFonts w:eastAsia="黑体"/>
          <w:color w:val="000000"/>
          <w:kern w:val="0"/>
          <w:sz w:val="32"/>
          <w:szCs w:val="32"/>
        </w:rPr>
        <w:t>》</w:t>
      </w:r>
      <w:bookmarkEnd w:id="0"/>
      <w:bookmarkEnd w:id="1"/>
      <w:bookmarkEnd w:id="2"/>
      <w:bookmarkEnd w:id="3"/>
      <w:bookmarkEnd w:id="4"/>
    </w:p>
    <w:p>
      <w:pPr>
        <w:autoSpaceDE w:val="0"/>
        <w:autoSpaceDN w:val="0"/>
        <w:adjustRightInd w:val="0"/>
        <w:spacing w:line="400" w:lineRule="exact"/>
        <w:ind w:firstLine="0" w:firstLineChars="0"/>
        <w:jc w:val="center"/>
        <w:outlineLvl w:val="0"/>
        <w:rPr>
          <w:rFonts w:eastAsia="黑体"/>
          <w:color w:val="000000"/>
          <w:kern w:val="0"/>
          <w:sz w:val="32"/>
          <w:szCs w:val="32"/>
        </w:rPr>
      </w:pPr>
      <w:bookmarkStart w:id="5" w:name="_Toc36212236"/>
      <w:bookmarkStart w:id="6" w:name="_Toc64898473"/>
      <w:bookmarkStart w:id="7" w:name="_Toc4815"/>
      <w:bookmarkStart w:id="8" w:name="_Toc21854"/>
      <w:bookmarkStart w:id="9" w:name="_Toc14803"/>
      <w:r>
        <w:rPr>
          <w:rFonts w:eastAsia="黑体"/>
          <w:color w:val="000000"/>
          <w:kern w:val="0"/>
          <w:sz w:val="32"/>
          <w:szCs w:val="32"/>
        </w:rPr>
        <w:t>（</w:t>
      </w:r>
      <w:r>
        <w:rPr>
          <w:rFonts w:hint="eastAsia" w:eastAsia="黑体"/>
          <w:color w:val="000000"/>
          <w:kern w:val="0"/>
          <w:sz w:val="32"/>
          <w:szCs w:val="32"/>
        </w:rPr>
        <w:t>征求意见稿</w:t>
      </w:r>
      <w:r>
        <w:rPr>
          <w:rFonts w:eastAsia="黑体"/>
          <w:color w:val="000000"/>
          <w:kern w:val="0"/>
          <w:sz w:val="32"/>
          <w:szCs w:val="32"/>
        </w:rPr>
        <w:t>）</w:t>
      </w:r>
      <w:bookmarkEnd w:id="5"/>
      <w:bookmarkEnd w:id="6"/>
      <w:bookmarkEnd w:id="7"/>
      <w:bookmarkEnd w:id="8"/>
      <w:bookmarkEnd w:id="9"/>
      <w:bookmarkStart w:id="10" w:name="_Toc30226"/>
      <w:bookmarkStart w:id="11" w:name="_Toc8137"/>
      <w:bookmarkStart w:id="12" w:name="_Toc36212237"/>
      <w:bookmarkStart w:id="13" w:name="_Toc64898474"/>
      <w:bookmarkStart w:id="14" w:name="_Toc31546"/>
      <w:r>
        <w:rPr>
          <w:rFonts w:hint="eastAsia" w:eastAsia="黑体"/>
          <w:color w:val="000000"/>
          <w:kern w:val="0"/>
          <w:sz w:val="32"/>
          <w:szCs w:val="32"/>
        </w:rPr>
        <w:t>编制说明</w:t>
      </w:r>
      <w:bookmarkEnd w:id="10"/>
      <w:bookmarkEnd w:id="11"/>
      <w:bookmarkEnd w:id="12"/>
      <w:bookmarkEnd w:id="13"/>
      <w:bookmarkEnd w:id="14"/>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15" w:name="_Toc64898475"/>
      <w:bookmarkStart w:id="16" w:name="_Toc36212238"/>
      <w:bookmarkStart w:id="17" w:name="_Toc7124"/>
      <w:bookmarkStart w:id="18" w:name="_Toc733"/>
      <w:bookmarkStart w:id="19" w:name="_Hlk64896381"/>
      <w:r>
        <w:rPr>
          <w:rFonts w:hint="eastAsia" w:ascii="黑体" w:hAnsi="黑体" w:eastAsia="黑体" w:cs="宋体"/>
          <w:bCs/>
          <w:color w:val="000000" w:themeColor="text1"/>
          <w:kern w:val="0"/>
          <w:sz w:val="24"/>
          <w14:textFill>
            <w14:solidFill>
              <w14:schemeClr w14:val="tx1"/>
            </w14:solidFill>
          </w14:textFill>
        </w:rPr>
        <w:t>工作简况</w:t>
      </w:r>
      <w:bookmarkEnd w:id="15"/>
      <w:bookmarkEnd w:id="16"/>
      <w:bookmarkEnd w:id="17"/>
      <w:bookmarkEnd w:id="18"/>
      <w:bookmarkStart w:id="34" w:name="_GoBack"/>
      <w:bookmarkEnd w:id="34"/>
    </w:p>
    <w:p>
      <w:pPr>
        <w:shd w:val="clear" w:color="auto" w:fill="FFFFFF"/>
        <w:spacing w:before="156" w:beforeLines="50" w:after="156" w:afterLines="50" w:line="400" w:lineRule="exact"/>
        <w:ind w:firstLine="0" w:firstLineChars="0"/>
        <w:jc w:val="left"/>
        <w:rPr>
          <w:rFonts w:ascii="黑体" w:hAnsi="黑体" w:eastAsia="黑体" w:cs="宋体"/>
          <w:bCs/>
          <w:color w:val="000000" w:themeColor="text1"/>
          <w:szCs w:val="21"/>
          <w14:textFill>
            <w14:solidFill>
              <w14:schemeClr w14:val="tx1"/>
            </w14:solidFill>
          </w14:textFill>
        </w:rPr>
      </w:pPr>
      <w:bookmarkStart w:id="20" w:name="_Toc64898476"/>
      <w:r>
        <w:rPr>
          <w:rFonts w:hint="eastAsia" w:ascii="黑体" w:hAnsi="黑体" w:eastAsia="黑体" w:cs="宋体"/>
          <w:bCs/>
          <w:color w:val="000000" w:themeColor="text1"/>
          <w:szCs w:val="21"/>
          <w14:textFill>
            <w14:solidFill>
              <w14:schemeClr w14:val="tx1"/>
            </w14:solidFill>
          </w14:textFill>
        </w:rPr>
        <w:t>1、任务来源</w:t>
      </w:r>
    </w:p>
    <w:p>
      <w:pPr>
        <w:shd w:val="clear" w:color="auto" w:fill="FFFFFF"/>
        <w:spacing w:line="400" w:lineRule="exact"/>
        <w:ind w:firstLine="420"/>
        <w:rPr>
          <w:rFonts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GB 14167－2013《汽车安全带安装固定点、ISOFIX固定点系统及上拉带固定点》是我国汽车强制性国家标准体系被动安全领域的重要组成部分，规定了车辆用于安装安全带和约束系统的固定点的安全要求，对于机动车成年乘员和儿童乘员的保护起到了重要的作用。标准于2013年5月7日发布，随着i-size儿童约束系统等安全技术的发展、消费者对于车辆安全需求的提升以及相关国际法规要求的更新，标准现有的技术指标和试验方法无法满足当前新技术的发展要求，也滞后于联合国U</w:t>
      </w:r>
      <w:r>
        <w:rPr>
          <w:rFonts w:cs="Arial"/>
          <w:color w:val="000000" w:themeColor="text1"/>
          <w:szCs w:val="21"/>
          <w14:textFill>
            <w14:solidFill>
              <w14:schemeClr w14:val="tx1"/>
            </w14:solidFill>
          </w14:textFill>
        </w:rPr>
        <w:t>N法规的技术指标</w:t>
      </w:r>
      <w:r>
        <w:rPr>
          <w:rFonts w:hint="eastAsia" w:cs="Arial"/>
          <w:color w:val="000000" w:themeColor="text1"/>
          <w:szCs w:val="21"/>
          <w14:textFill>
            <w14:solidFill>
              <w14:schemeClr w14:val="tx1"/>
            </w14:solidFill>
          </w14:textFill>
        </w:rPr>
        <w:t>。因此有必要对标准进行修订，提升我国汽车产品的安全欧秋，同时保证相关技术指标不低于国外发达市场相关标准，促进我国汽车企业产品的国际化发展，消除国际贸易中技术壁垒。该标准的修订工作已纳入汽车车身领域“十三·五”标准体系建设方案，，体系编号为</w:t>
      </w:r>
      <w:r>
        <w:rPr>
          <w:rFonts w:cs="Arial"/>
          <w:color w:val="000000" w:themeColor="text1"/>
          <w:szCs w:val="21"/>
          <w14:textFill>
            <w14:solidFill>
              <w14:schemeClr w14:val="tx1"/>
            </w14:solidFill>
          </w14:textFill>
        </w:rPr>
        <w:t>QC-101-203-318-402-502-005</w:t>
      </w:r>
      <w:r>
        <w:rPr>
          <w:rFonts w:hint="eastAsia" w:cs="Arial"/>
          <w:color w:val="000000" w:themeColor="text1"/>
          <w:szCs w:val="21"/>
          <w14:textFill>
            <w14:solidFill>
              <w14:schemeClr w14:val="tx1"/>
            </w14:solidFill>
          </w14:textFill>
        </w:rPr>
        <w:t>。</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2020 年 7 月 29 日，国家标准化管理委员会下达 GB14167《机动车乘员用安全带和约束系统安装固定点》强制性国家标准制修订计划【计划号为：20201958-Q-339】，主要起草单位包括襄阳达安汽车检测中心有限公司、东风汽车集团有限公司、中国汽车技术研究中心有限公司、第一汽车集团有限公司等。</w:t>
      </w:r>
    </w:p>
    <w:p>
      <w:pPr>
        <w:shd w:val="clear" w:color="auto" w:fill="FFFFFF"/>
        <w:spacing w:before="156" w:beforeLines="50" w:after="156" w:afterLines="50" w:line="400" w:lineRule="exact"/>
        <w:ind w:firstLine="0" w:firstLineChars="0"/>
        <w:rPr>
          <w:rFonts w:ascii="黑体" w:hAnsi="黑体" w:eastAsia="黑体" w:cs="宋体"/>
          <w:bCs/>
          <w:i/>
          <w:iCs/>
          <w:color w:val="000000" w:themeColor="text1"/>
          <w:szCs w:val="21"/>
          <w14:textFill>
            <w14:solidFill>
              <w14:schemeClr w14:val="tx1"/>
            </w14:solidFill>
          </w14:textFill>
        </w:rPr>
      </w:pPr>
      <w:r>
        <w:rPr>
          <w:rFonts w:hint="eastAsia" w:ascii="黑体" w:hAnsi="黑体" w:eastAsia="黑体" w:cs="宋体"/>
          <w:bCs/>
          <w:color w:val="000000" w:themeColor="text1"/>
          <w:szCs w:val="21"/>
          <w14:textFill>
            <w14:solidFill>
              <w14:schemeClr w14:val="tx1"/>
            </w14:solidFill>
          </w14:textFill>
        </w:rPr>
        <w:t>2、主要工作过程</w:t>
      </w:r>
    </w:p>
    <w:p>
      <w:pPr>
        <w:shd w:val="clear" w:color="auto" w:fill="FFFFFF"/>
        <w:spacing w:line="400" w:lineRule="exact"/>
        <w:ind w:firstLine="0" w:firstLineChars="0"/>
        <w:rPr>
          <w:rFonts w:ascii="黑体" w:hAnsi="黑体" w:eastAsia="黑体" w:cs="Arial"/>
          <w:color w:val="000000" w:themeColor="text1"/>
          <w:szCs w:val="21"/>
          <w14:textFill>
            <w14:solidFill>
              <w14:schemeClr w14:val="tx1"/>
            </w14:solidFill>
          </w14:textFill>
        </w:rPr>
      </w:pPr>
      <w:r>
        <w:rPr>
          <w:rFonts w:hint="eastAsia" w:ascii="黑体" w:hAnsi="黑体" w:eastAsia="黑体" w:cs="宋体"/>
          <w:bCs/>
          <w:color w:val="000000" w:themeColor="text1"/>
          <w:szCs w:val="21"/>
          <w14:textFill>
            <w14:solidFill>
              <w14:schemeClr w14:val="tx1"/>
            </w14:solidFill>
          </w14:textFill>
        </w:rPr>
        <w:t xml:space="preserve">2.1 </w:t>
      </w:r>
      <w:r>
        <w:rPr>
          <w:rFonts w:hint="eastAsia" w:ascii="黑体" w:hAnsi="黑体" w:eastAsia="黑体" w:cs="Arial"/>
          <w:color w:val="000000" w:themeColor="text1"/>
          <w:szCs w:val="21"/>
          <w14:textFill>
            <w14:solidFill>
              <w14:schemeClr w14:val="tx1"/>
            </w14:solidFill>
          </w14:textFill>
        </w:rPr>
        <w:t>标准预研</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（1）从2016年开始，车身分技术委员会和襄阳达安汽车检测中心有限公司不断收到整车企业、座椅企业、安全带企业要求修订GB14167的呼声和建议。 2016年1月襄阳中心作为原第一起草单位向车身分技术委员会秘书处通报行业情况，并成立GB14167标准研究团队，开展UN R17修订内容的翻译工作，开展侧向座椅试验技术和试验方法、i-Size乘坐位置强度试验等内容的技术研究工作，与日本丰田、东风乘用车等整车企业多次开展技术交流。</w:t>
      </w:r>
    </w:p>
    <w:p>
      <w:pPr>
        <w:shd w:val="clear" w:color="auto" w:fill="FFFFFF"/>
        <w:spacing w:line="400" w:lineRule="exact"/>
        <w:ind w:firstLine="420"/>
        <w:rPr>
          <w:rFonts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2）2017年12月，在车身分标委组织的“车身分标委年度会议”上，襄阳达安汽车检测中心有限公司就GB14167-202X标准预研工作进行了介绍，对侧向座椅试验方法、i-Size乘坐位置试验方法进行了深入交流和研讨，取得了多项共识，也加深了对新增内容的理解。</w:t>
      </w:r>
    </w:p>
    <w:p>
      <w:pPr>
        <w:shd w:val="clear" w:color="auto" w:fill="FFFFFF"/>
        <w:spacing w:line="400" w:lineRule="exact"/>
        <w:ind w:firstLine="420"/>
        <w:rPr>
          <w:color w:val="000000" w:themeColor="text1"/>
          <w14:textFill>
            <w14:solidFill>
              <w14:schemeClr w14:val="tx1"/>
            </w14:solidFill>
          </w14:textFill>
        </w:rPr>
      </w:pPr>
      <w:r>
        <w:rPr>
          <w:rFonts w:hint="eastAsia" w:cs="Arial"/>
          <w:color w:val="000000" w:themeColor="text1"/>
          <w:szCs w:val="21"/>
          <w14:textFill>
            <w14:solidFill>
              <w14:schemeClr w14:val="tx1"/>
            </w14:solidFill>
          </w14:textFill>
        </w:rPr>
        <w:t>（4）2</w:t>
      </w:r>
      <w:r>
        <w:rPr>
          <w:rFonts w:cs="Arial"/>
          <w:color w:val="000000" w:themeColor="text1"/>
          <w:szCs w:val="21"/>
          <w14:textFill>
            <w14:solidFill>
              <w14:schemeClr w14:val="tx1"/>
            </w14:solidFill>
          </w14:textFill>
        </w:rPr>
        <w:t>018年</w:t>
      </w:r>
      <w:r>
        <w:rPr>
          <w:rFonts w:hint="eastAsia" w:cs="Arial"/>
          <w:color w:val="000000" w:themeColor="text1"/>
          <w:szCs w:val="21"/>
          <w14:textFill>
            <w14:solidFill>
              <w14:schemeClr w14:val="tx1"/>
            </w14:solidFill>
          </w14:textFill>
        </w:rPr>
        <w:t>1</w:t>
      </w:r>
      <w:r>
        <w:rPr>
          <w:rFonts w:cs="Arial"/>
          <w:color w:val="000000" w:themeColor="text1"/>
          <w:szCs w:val="21"/>
          <w14:textFill>
            <w14:solidFill>
              <w14:schemeClr w14:val="tx1"/>
            </w14:solidFill>
          </w14:textFill>
        </w:rPr>
        <w:t>0月</w:t>
      </w:r>
      <w:r>
        <w:rPr>
          <w:rFonts w:hint="eastAsia" w:cs="Arial"/>
          <w:color w:val="000000" w:themeColor="text1"/>
          <w:szCs w:val="21"/>
          <w14:textFill>
            <w14:solidFill>
              <w14:schemeClr w14:val="tx1"/>
            </w14:solidFill>
          </w14:textFill>
        </w:rPr>
        <w:t>，标准正式申请立项，并于2</w:t>
      </w:r>
      <w:r>
        <w:rPr>
          <w:rFonts w:cs="Arial"/>
          <w:color w:val="000000" w:themeColor="text1"/>
          <w:szCs w:val="21"/>
          <w14:textFill>
            <w14:solidFill>
              <w14:schemeClr w14:val="tx1"/>
            </w14:solidFill>
          </w14:textFill>
        </w:rPr>
        <w:t>019年</w:t>
      </w:r>
      <w:r>
        <w:rPr>
          <w:rFonts w:hint="eastAsia" w:cs="Arial"/>
          <w:color w:val="000000" w:themeColor="text1"/>
          <w:szCs w:val="21"/>
          <w14:textFill>
            <w14:solidFill>
              <w14:schemeClr w14:val="tx1"/>
            </w14:solidFill>
          </w14:textFill>
        </w:rPr>
        <w:t>7月完成工信和信息化部组织的标准立项答辩。</w:t>
      </w:r>
    </w:p>
    <w:p>
      <w:pPr>
        <w:shd w:val="clear" w:color="auto" w:fill="FFFFFF"/>
        <w:spacing w:before="156" w:beforeLines="50" w:after="156" w:afterLines="50"/>
        <w:ind w:firstLine="420"/>
        <w:rPr>
          <w:rFonts w:ascii="黑体" w:hAnsi="黑体" w:eastAsia="黑体" w:cs="宋体"/>
          <w:bCs/>
          <w:color w:val="000000" w:themeColor="text1"/>
          <w:szCs w:val="21"/>
          <w14:textFill>
            <w14:solidFill>
              <w14:schemeClr w14:val="tx1"/>
            </w14:solidFill>
          </w14:textFill>
        </w:rPr>
      </w:pPr>
      <w:r>
        <w:rPr>
          <w:rFonts w:hint="eastAsia" w:ascii="黑体" w:hAnsi="黑体" w:eastAsia="黑体" w:cs="宋体"/>
          <w:bCs/>
          <w:color w:val="000000" w:themeColor="text1"/>
          <w:szCs w:val="21"/>
          <w14:textFill>
            <w14:solidFill>
              <w14:schemeClr w14:val="tx1"/>
            </w14:solidFill>
          </w14:textFill>
        </w:rPr>
        <w:t>2.</w:t>
      </w:r>
      <w:r>
        <w:rPr>
          <w:rFonts w:ascii="黑体" w:hAnsi="黑体" w:eastAsia="黑体" w:cs="宋体"/>
          <w:bCs/>
          <w:color w:val="000000" w:themeColor="text1"/>
          <w:szCs w:val="21"/>
          <w14:textFill>
            <w14:solidFill>
              <w14:schemeClr w14:val="tx1"/>
            </w14:solidFill>
          </w14:textFill>
        </w:rPr>
        <w:t>2</w:t>
      </w:r>
      <w:r>
        <w:rPr>
          <w:rFonts w:hint="eastAsia" w:ascii="黑体" w:hAnsi="黑体" w:eastAsia="黑体" w:cs="宋体"/>
          <w:bCs/>
          <w:color w:val="000000" w:themeColor="text1"/>
          <w:szCs w:val="21"/>
          <w14:textFill>
            <w14:solidFill>
              <w14:schemeClr w14:val="tx1"/>
            </w14:solidFill>
          </w14:textFill>
        </w:rPr>
        <w:t xml:space="preserve"> 第一次</w:t>
      </w:r>
      <w:r>
        <w:rPr>
          <w:rFonts w:ascii="黑体" w:hAnsi="黑体" w:eastAsia="黑体" w:cs="宋体"/>
          <w:bCs/>
          <w:color w:val="000000" w:themeColor="text1"/>
          <w:szCs w:val="21"/>
          <w14:textFill>
            <w14:solidFill>
              <w14:schemeClr w14:val="tx1"/>
            </w14:solidFill>
          </w14:textFill>
        </w:rPr>
        <w:t>工作组会议</w:t>
      </w:r>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10月29日，由全国汽车标准化委员会车身分技术委员会主办，襄阳达安汽车而检测中心有限公司承办的GB14167《机动车乘员用安全带和约束系统安装固定点》标准制修订研讨会在襄阳召开。研讨会上，与会人员对达安中心GB14167标准工作组编制的标准草案进行了研讨，针对标准文本新增内容的翻译、支撑腿足部空间评价体的定义、Pn和mt 的定义、i-Size乘坐位置和侧向座椅的试验方法，以及与GB14166、GB27887两个相关国标修订的协同等问题展开了热烈的讨论。会议要求标准工作组后续密切关注并跟踪UN R14和R145的实时变化和发展趋势，对i-Size乘坐位置和侧向座椅进行更多的调研和摸底试验，修改完善标准文本用以下次的工作组会议讨论。</w:t>
      </w:r>
    </w:p>
    <w:p>
      <w:pPr>
        <w:shd w:val="clear" w:color="auto" w:fill="FFFFFF"/>
        <w:spacing w:before="156" w:beforeLines="50" w:after="156" w:afterLines="50"/>
        <w:ind w:firstLine="0" w:firstLineChars="0"/>
        <w:rPr>
          <w:rFonts w:ascii="黑体" w:hAnsi="黑体" w:eastAsia="黑体" w:cs="宋体"/>
          <w:bCs/>
          <w:color w:val="000000" w:themeColor="text1"/>
          <w:szCs w:val="21"/>
          <w14:textFill>
            <w14:solidFill>
              <w14:schemeClr w14:val="tx1"/>
            </w14:solidFill>
          </w14:textFill>
        </w:rPr>
      </w:pPr>
      <w:r>
        <w:rPr>
          <w:rFonts w:hint="eastAsia" w:ascii="黑体" w:hAnsi="黑体" w:eastAsia="黑体" w:cs="宋体"/>
          <w:bCs/>
          <w:color w:val="000000" w:themeColor="text1"/>
          <w:szCs w:val="21"/>
          <w14:textFill>
            <w14:solidFill>
              <w14:schemeClr w14:val="tx1"/>
            </w14:solidFill>
          </w14:textFill>
        </w:rPr>
        <w:t>2.</w:t>
      </w:r>
      <w:r>
        <w:rPr>
          <w:rFonts w:ascii="黑体" w:hAnsi="黑体" w:eastAsia="黑体" w:cs="宋体"/>
          <w:bCs/>
          <w:color w:val="000000" w:themeColor="text1"/>
          <w:szCs w:val="21"/>
          <w14:textFill>
            <w14:solidFill>
              <w14:schemeClr w14:val="tx1"/>
            </w14:solidFill>
          </w14:textFill>
        </w:rPr>
        <w:t>3</w:t>
      </w:r>
      <w:r>
        <w:rPr>
          <w:rFonts w:hint="eastAsia" w:ascii="黑体" w:hAnsi="黑体" w:eastAsia="黑体" w:cs="宋体"/>
          <w:bCs/>
          <w:color w:val="000000" w:themeColor="text1"/>
          <w:szCs w:val="21"/>
          <w14:textFill>
            <w14:solidFill>
              <w14:schemeClr w14:val="tx1"/>
            </w14:solidFill>
          </w14:textFill>
        </w:rPr>
        <w:t xml:space="preserve"> 第二次</w:t>
      </w:r>
      <w:r>
        <w:rPr>
          <w:rFonts w:ascii="黑体" w:hAnsi="黑体" w:eastAsia="黑体" w:cs="宋体"/>
          <w:bCs/>
          <w:color w:val="000000" w:themeColor="text1"/>
          <w:szCs w:val="21"/>
          <w14:textFill>
            <w14:solidFill>
              <w14:schemeClr w14:val="tx1"/>
            </w14:solidFill>
          </w14:textFill>
        </w:rPr>
        <w:t>工作组会议</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2021年6月23日，由全国汽车标准化技术委员会车身分技术委员会主办，长春汽车检测中心承办的GB14167-XXXX《机动车乘员用安全带和约束系统安装固定点》工作组会议在长春市召开。来自相关检测机构、国内外整车及零部件生产企业的60余名领导和专家参加了此次会议。参会专家对于标准修订过程中柔性肩部高度调节器、侧向座椅安全带固定点等技术难点问题进行了深入分析和交流。</w:t>
      </w:r>
    </w:p>
    <w:p>
      <w:pPr>
        <w:shd w:val="clear" w:color="auto" w:fill="FFFFFF"/>
        <w:spacing w:before="156" w:beforeLines="50" w:after="156" w:afterLines="50"/>
        <w:ind w:firstLine="0" w:firstLineChars="0"/>
        <w:rPr>
          <w:rFonts w:ascii="黑体" w:hAnsi="黑体" w:eastAsia="黑体" w:cs="宋体"/>
          <w:bCs/>
          <w:color w:val="000000" w:themeColor="text1"/>
          <w:szCs w:val="21"/>
          <w14:textFill>
            <w14:solidFill>
              <w14:schemeClr w14:val="tx1"/>
            </w14:solidFill>
          </w14:textFill>
        </w:rPr>
      </w:pPr>
      <w:bookmarkStart w:id="21" w:name="_Hlk96874953"/>
      <w:r>
        <w:rPr>
          <w:rFonts w:ascii="黑体" w:hAnsi="黑体" w:eastAsia="黑体" w:cs="宋体"/>
          <w:bCs/>
          <w:color w:val="000000" w:themeColor="text1"/>
          <w:szCs w:val="21"/>
          <w14:textFill>
            <w14:solidFill>
              <w14:schemeClr w14:val="tx1"/>
            </w14:solidFill>
          </w14:textFill>
        </w:rPr>
        <w:t>2.4</w:t>
      </w:r>
      <w:r>
        <w:rPr>
          <w:rFonts w:hint="eastAsia" w:ascii="黑体" w:hAnsi="黑体" w:eastAsia="黑体" w:cs="宋体"/>
          <w:bCs/>
          <w:color w:val="000000" w:themeColor="text1"/>
          <w:szCs w:val="21"/>
          <w14:textFill>
            <w14:solidFill>
              <w14:schemeClr w14:val="tx1"/>
            </w14:solidFill>
          </w14:textFill>
        </w:rPr>
        <w:t>标准起草组与G</w:t>
      </w:r>
      <w:r>
        <w:rPr>
          <w:rFonts w:ascii="黑体" w:hAnsi="黑体" w:eastAsia="黑体" w:cs="宋体"/>
          <w:bCs/>
          <w:color w:val="000000" w:themeColor="text1"/>
          <w:szCs w:val="21"/>
          <w14:textFill>
            <w14:solidFill>
              <w14:schemeClr w14:val="tx1"/>
            </w14:solidFill>
          </w14:textFill>
        </w:rPr>
        <w:t xml:space="preserve">B 14166 </w:t>
      </w:r>
      <w:r>
        <w:rPr>
          <w:rFonts w:hint="eastAsia" w:ascii="黑体" w:hAnsi="黑体" w:eastAsia="黑体" w:cs="宋体"/>
          <w:bCs/>
          <w:color w:val="000000" w:themeColor="text1"/>
          <w:szCs w:val="21"/>
          <w14:textFill>
            <w14:solidFill>
              <w14:schemeClr w14:val="tx1"/>
            </w14:solidFill>
          </w14:textFill>
        </w:rPr>
        <w:t>和G</w:t>
      </w:r>
      <w:r>
        <w:rPr>
          <w:rFonts w:ascii="黑体" w:hAnsi="黑体" w:eastAsia="黑体" w:cs="宋体"/>
          <w:bCs/>
          <w:color w:val="000000" w:themeColor="text1"/>
          <w:szCs w:val="21"/>
          <w14:textFill>
            <w14:solidFill>
              <w14:schemeClr w14:val="tx1"/>
            </w14:solidFill>
          </w14:textFill>
        </w:rPr>
        <w:t>B 27887</w:t>
      </w:r>
      <w:r>
        <w:rPr>
          <w:rFonts w:hint="eastAsia" w:ascii="黑体" w:hAnsi="黑体" w:eastAsia="黑体" w:cs="宋体"/>
          <w:bCs/>
          <w:color w:val="000000" w:themeColor="text1"/>
          <w:szCs w:val="21"/>
          <w14:textFill>
            <w14:solidFill>
              <w14:schemeClr w14:val="tx1"/>
            </w14:solidFill>
          </w14:textFill>
        </w:rPr>
        <w:t>标准起草组的协调会</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2021年12月31日，GB 14167、GB 14166和GB 27887三个标准起草组成员以网络会议的形式举行了标准协调会， 与会人员对上述三项标准在起草过程中存在的问题进行了深入详尽的研讨，并形成了以下意见：</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1）对于三项标准中ISOFIX、ISOFIX位置等儿童座椅相关术语和定义，原则上以GB 27887为基准（参照UN R129的最新版本）。GB 14166和GB 14167中儿童座椅相关术语与GB 27887协调一致；</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2）充分关注针对三项标准修订后可能对整车（含在用车）和儿童座椅产品造成的影响，确保标准的科学性和先进性；</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3）各工作组完善标准草案文本后，相互交换并审校文本的必要部分，以便保证标准间名词术语及其相关技术要求的协调一致。</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会后，标准起草组按照会议要求研讨意见修改完善标准文本及编制说明，形成征求意见稿。</w:t>
      </w:r>
    </w:p>
    <w:bookmarkEnd w:id="21"/>
    <w:p>
      <w:pPr>
        <w:numPr>
          <w:ilvl w:val="0"/>
          <w:numId w:val="1"/>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r>
        <w:rPr>
          <w:rFonts w:hint="eastAsia" w:ascii="黑体" w:hAnsi="黑体" w:eastAsia="黑体" w:cs="宋体"/>
          <w:bCs/>
          <w:color w:val="000000" w:themeColor="text1"/>
          <w:kern w:val="0"/>
          <w:sz w:val="24"/>
          <w14:textFill>
            <w14:solidFill>
              <w14:schemeClr w14:val="tx1"/>
            </w14:solidFill>
          </w14:textFill>
        </w:rPr>
        <w:t>编制原则、强制性国家标准主要技术要求的依据及理由</w:t>
      </w:r>
      <w:bookmarkEnd w:id="20"/>
    </w:p>
    <w:p>
      <w:pPr>
        <w:shd w:val="clear" w:color="auto" w:fill="FFFFFF"/>
        <w:spacing w:before="156" w:beforeLines="50" w:after="156" w:afterLines="50" w:line="400" w:lineRule="exact"/>
        <w:ind w:firstLine="0" w:firstLineChars="0"/>
        <w:jc w:val="left"/>
        <w:rPr>
          <w:rFonts w:ascii="黑体" w:hAnsi="黑体" w:eastAsia="黑体" w:cs="宋体"/>
          <w:bCs/>
          <w:color w:val="000000" w:themeColor="text1"/>
          <w:szCs w:val="21"/>
          <w14:textFill>
            <w14:solidFill>
              <w14:schemeClr w14:val="tx1"/>
            </w14:solidFill>
          </w14:textFill>
        </w:rPr>
      </w:pPr>
      <w:r>
        <w:rPr>
          <w:rFonts w:hint="eastAsia" w:ascii="黑体" w:hAnsi="黑体" w:eastAsia="黑体" w:cs="宋体"/>
          <w:bCs/>
          <w:color w:val="000000" w:themeColor="text1"/>
          <w:szCs w:val="21"/>
          <w14:textFill>
            <w14:solidFill>
              <w14:schemeClr w14:val="tx1"/>
            </w14:solidFill>
          </w14:textFill>
        </w:rPr>
        <w:t>1、编制原则</w:t>
      </w:r>
    </w:p>
    <w:p>
      <w:pPr>
        <w:shd w:val="clear" w:color="auto" w:fill="FFFFFF"/>
        <w:spacing w:line="400" w:lineRule="exact"/>
        <w:ind w:firstLine="420"/>
        <w:rPr>
          <w:rFonts w:hint="eastAsia" w:cs="Arial"/>
          <w:color w:val="000000" w:themeColor="text1"/>
          <w:szCs w:val="21"/>
          <w14:textFill>
            <w14:solidFill>
              <w14:schemeClr w14:val="tx1"/>
            </w14:solidFill>
          </w14:textFill>
        </w:rPr>
      </w:pPr>
      <w:bookmarkStart w:id="22" w:name="_Hlk87003558"/>
      <w:r>
        <w:rPr>
          <w:rFonts w:hint="eastAsia" w:cs="Arial"/>
          <w:color w:val="000000" w:themeColor="text1"/>
          <w:szCs w:val="21"/>
          <w14:textFill>
            <w14:solidFill>
              <w14:schemeClr w14:val="tx1"/>
            </w14:solidFill>
          </w14:textFill>
        </w:rPr>
        <w:t>本标准参考了《关于机动车安全带安装固定点认证的统一规定》（英文版）及UN R145《关于机动车ISOFIX固定点系统及上拉带固定点、以及i-Size乘坐位置认证的统一规定》（英文版）及其随后的修改单、增补件等。考虑我国标准体系的现状，新修订GB14167-202X的技术内容基本采用上述两个标准，但是文本结构上与GB14167-2013的保持一致。</w:t>
      </w:r>
    </w:p>
    <w:bookmarkEnd w:id="22"/>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标准的结构和编写要求符合GB/T 1.1—2020《标准化工作导则  第1部分：标准化文件的结构和起草规则》的规定。</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标准制定过程中充分听取了相关的车辆制造企业、检测机构、科研单位以及管理部门的意见,并对标准新增的技术内容进行了大量的试验验证，保证标准技术要求的先进性和合理性。</w:t>
      </w:r>
    </w:p>
    <w:p>
      <w:pPr>
        <w:shd w:val="clear" w:color="auto" w:fill="FFFFFF"/>
        <w:spacing w:before="156" w:beforeLines="50" w:after="156" w:afterLines="50" w:line="400" w:lineRule="exact"/>
        <w:ind w:firstLine="0" w:firstLineChars="0"/>
        <w:jc w:val="left"/>
        <w:rPr>
          <w:rFonts w:ascii="黑体" w:hAnsi="黑体" w:eastAsia="黑体" w:cs="宋体"/>
          <w:bCs/>
          <w:color w:val="000000" w:themeColor="text1"/>
          <w:szCs w:val="21"/>
          <w14:textFill>
            <w14:solidFill>
              <w14:schemeClr w14:val="tx1"/>
            </w14:solidFill>
          </w14:textFill>
        </w:rPr>
      </w:pPr>
      <w:r>
        <w:rPr>
          <w:rFonts w:ascii="黑体" w:hAnsi="黑体" w:eastAsia="黑体" w:cs="宋体"/>
          <w:bCs/>
          <w:color w:val="000000" w:themeColor="text1"/>
          <w:szCs w:val="21"/>
          <w14:textFill>
            <w14:solidFill>
              <w14:schemeClr w14:val="tx1"/>
            </w14:solidFill>
          </w14:textFill>
        </w:rPr>
        <w:t>2</w:t>
      </w:r>
      <w:r>
        <w:rPr>
          <w:rFonts w:hint="eastAsia" w:ascii="黑体" w:hAnsi="黑体" w:eastAsia="黑体" w:cs="宋体"/>
          <w:bCs/>
          <w:color w:val="000000" w:themeColor="text1"/>
          <w:szCs w:val="21"/>
          <w14:textFill>
            <w14:solidFill>
              <w14:schemeClr w14:val="tx1"/>
            </w14:solidFill>
          </w14:textFill>
        </w:rPr>
        <w:t>、适用范围</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本文件规定了机动车乘员用安全带和儿童约束系统安装固定点的位置、强度要求和试验方法。</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本文件适用于安装了前向、后向或侧向座椅成年乘员用安全带安装固定点的M和N类车辆。</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本文件适用于安装了用于儿童约束系统的ISOFIX固定点系统及其上拉带固定点的M1类车辆，以及安装了ISOFIX固定点系统的其它类车辆。</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本文件适用于具有i-Size乘坐位置的车辆。</w:t>
      </w:r>
    </w:p>
    <w:p>
      <w:pPr>
        <w:shd w:val="clear" w:color="auto" w:fill="FFFFFF"/>
        <w:spacing w:before="156" w:beforeLines="50" w:after="156" w:afterLines="50" w:line="400" w:lineRule="exact"/>
        <w:ind w:firstLine="0" w:firstLineChars="0"/>
        <w:jc w:val="left"/>
        <w:rPr>
          <w:rFonts w:ascii="黑体" w:hAnsi="黑体" w:eastAsia="黑体" w:cs="宋体"/>
          <w:bCs/>
          <w:color w:val="000000" w:themeColor="text1"/>
          <w:szCs w:val="21"/>
          <w14:textFill>
            <w14:solidFill>
              <w14:schemeClr w14:val="tx1"/>
            </w14:solidFill>
          </w14:textFill>
        </w:rPr>
      </w:pPr>
      <w:r>
        <w:rPr>
          <w:rFonts w:hint="eastAsia" w:ascii="黑体" w:hAnsi="黑体" w:eastAsia="黑体" w:cs="宋体"/>
          <w:bCs/>
          <w:color w:val="000000" w:themeColor="text1"/>
          <w:szCs w:val="21"/>
          <w14:textFill>
            <w14:solidFill>
              <w14:schemeClr w14:val="tx1"/>
            </w14:solidFill>
          </w14:textFill>
        </w:rPr>
        <w:t>3、标准修订的主要技术内容</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——更改了“范围”（见第1章）</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——增加了对i-Size乘坐位置的要求（见4.1）</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——更改了ISOFIX位置的最低数量要求（见4.2）</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——增加了侧向座椅安全带两个下固定点的距离要求（见4.3）</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——更改了安全带上有效固定点的位置的要求（见4.3）</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——增加了侧向座椅安全带固定点试验方法（见5.4）</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——增加了i-Size乘坐位置试验方法（见5.6）</w:t>
      </w:r>
    </w:p>
    <w:p>
      <w:pPr>
        <w:shd w:val="clear" w:color="auto" w:fill="FFFFFF"/>
        <w:spacing w:line="400" w:lineRule="exact"/>
        <w:ind w:firstLine="420"/>
        <w:rPr>
          <w:color w:val="000000" w:themeColor="text1"/>
          <w14:textFill>
            <w14:solidFill>
              <w14:schemeClr w14:val="tx1"/>
            </w14:solidFill>
          </w14:textFill>
        </w:rPr>
      </w:pPr>
      <w:r>
        <w:rPr>
          <w:rFonts w:hint="eastAsia" w:cs="Arial"/>
          <w:color w:val="000000" w:themeColor="text1"/>
          <w:szCs w:val="21"/>
          <w14:textFill>
            <w14:solidFill>
              <w14:schemeClr w14:val="tx1"/>
            </w14:solidFill>
          </w14:textFill>
        </w:rPr>
        <w:t>——增加了i-Size乘坐位置的图示（见附录G）</w:t>
      </w:r>
      <w:r>
        <w:rPr>
          <w:rFonts w:hint="eastAsia"/>
          <w:color w:val="000000" w:themeColor="text1"/>
          <w14:textFill>
            <w14:solidFill>
              <w14:schemeClr w14:val="tx1"/>
            </w14:solidFill>
          </w14:textFill>
        </w:rPr>
        <w:t>。</w:t>
      </w:r>
    </w:p>
    <w:p>
      <w:pPr>
        <w:snapToGrid w:val="0"/>
        <w:spacing w:before="312" w:beforeLines="100" w:after="312" w:afterLines="100"/>
        <w:ind w:firstLine="0" w:firstLineChars="0"/>
        <w:rPr>
          <w:rFonts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4</w:t>
      </w:r>
      <w:r>
        <w:rPr>
          <w:rFonts w:hint="eastAsia" w:ascii="黑体" w:hAnsi="黑体" w:eastAsia="黑体"/>
          <w:color w:val="000000" w:themeColor="text1"/>
          <w14:textFill>
            <w14:solidFill>
              <w14:schemeClr w14:val="tx1"/>
            </w14:solidFill>
          </w14:textFill>
        </w:rPr>
        <w:t>、主要试验（或）验证情况分析</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标准主要在结合UN R14 Rev.7/Supplement 1 to the 09 series of amendments《关于机动车安全带安装固定点认证的统一规定》（英文版）与UN R145《关于机动车ISOFIX固定点系统及上拉带固定点、以及i-Size乘坐位置认证的统一规定》（英文版）及相关企业技术反馈制定完成，在现有标准基础上增加了对带有支撑腿的i-Size乘坐位置的车辆地板强度考核以及侧向座椅安全带固定点的要求，以使儿童座椅固定装置能和国际通用的儿童约束系统保持兼容匹配，完善了侧向座椅安全带固定点的规定。</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标准制定过程中，对于主要修订内容进行了充分的验证，目前经过多个车型的强度试验验证，检测结果均完全符合新标准要求，这一结果表明我国汽车生产企业已有生产满足新标准要求的能力。部分试验结果如下：</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1）i-Size乘坐位置地板强度试验</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试验方法：</w:t>
      </w:r>
      <w:bookmarkStart w:id="23" w:name="_Ref276825235"/>
      <w:r>
        <w:rPr>
          <w:rFonts w:hint="eastAsia" w:cs="Arial"/>
          <w:color w:val="000000" w:themeColor="text1"/>
          <w:szCs w:val="21"/>
          <w14:textFill>
            <w14:solidFill>
              <w14:schemeClr w14:val="tx1"/>
            </w14:solidFill>
          </w14:textFill>
        </w:rPr>
        <w:t>在静态加载装置SFAD的前下横梁的中心处施加135 N±15 N的力，以便调整SFAD和支撑装置之间前后位置的松紧</w:t>
      </w:r>
      <w:bookmarkEnd w:id="23"/>
      <w:r>
        <w:rPr>
          <w:rFonts w:hint="eastAsia" w:cs="Arial"/>
          <w:color w:val="000000" w:themeColor="text1"/>
          <w:szCs w:val="21"/>
          <w14:textFill>
            <w14:solidFill>
              <w14:schemeClr w14:val="tx1"/>
            </w14:solidFill>
          </w14:textFill>
        </w:rPr>
        <w:t>。支撑腿试验装置应在长度方向调节以适应车辆地板接触表面，在高度方向调节到足部接触到车辆地板上表面。如果高度分段可调，选择足部稳固接触地板的第一档；如果高度连续可调，调节支撑腿试验装置高度使SFAD前后倾斜角度增加1.5°±0.5°。然后对SFAD X点预加载500 N±25 N后，应在30s内尽快加载到8 kN±0.25 kN的水平前向力。持续时间不少于0.2s。加载期间纵向水平位移应不大于125 mm，若在规定的时间保持了所要求的力，允许</w:t>
      </w:r>
      <w:r>
        <w:rPr>
          <w:rFonts w:hint="eastAsia" w:cs="Arial"/>
          <w:color w:val="000000" w:themeColor="text1"/>
          <w:szCs w:val="21"/>
          <w:lang w:val="en-GB"/>
          <w14:textFill>
            <w14:solidFill>
              <w14:schemeClr w14:val="tx1"/>
            </w14:solidFill>
          </w14:textFill>
        </w:rPr>
        <w:t>ISOFIX下固定点和车辆地板接触表面产生</w:t>
      </w:r>
      <w:r>
        <w:rPr>
          <w:rFonts w:hint="eastAsia" w:cs="Arial"/>
          <w:color w:val="000000" w:themeColor="text1"/>
          <w:szCs w:val="21"/>
          <w14:textFill>
            <w14:solidFill>
              <w14:schemeClr w14:val="tx1"/>
            </w14:solidFill>
          </w14:textFill>
        </w:rPr>
        <w:t>永久变形和部分开裂，但周围的区域不应失效。</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3375"/>
        <w:gridCol w:w="221"/>
        <w:gridCol w:w="4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restart"/>
            <w:vAlign w:val="center"/>
          </w:tcPr>
          <w:p>
            <w:pPr>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样</w:t>
            </w:r>
          </w:p>
          <w:p>
            <w:pPr>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品</w:t>
            </w:r>
          </w:p>
          <w:p>
            <w:pPr>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A</w:t>
            </w:r>
          </w:p>
        </w:tc>
        <w:tc>
          <w:tcPr>
            <w:tcW w:w="8101" w:type="dxa"/>
            <w:gridSpan w:val="3"/>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试验照片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421" w:type="dxa"/>
            <w:vMerge w:val="continue"/>
          </w:tcPr>
          <w:p>
            <w:pPr>
              <w:ind w:firstLine="0" w:firstLineChars="0"/>
              <w:rPr>
                <w:color w:val="000000" w:themeColor="text1"/>
                <w14:textFill>
                  <w14:solidFill>
                    <w14:schemeClr w14:val="tx1"/>
                  </w14:solidFill>
                </w14:textFill>
              </w:rPr>
            </w:pPr>
          </w:p>
        </w:tc>
        <w:tc>
          <w:tcPr>
            <w:tcW w:w="8101" w:type="dxa"/>
            <w:gridSpan w:val="3"/>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170430" cy="1628775"/>
                  <wp:effectExtent l="0" t="0" r="1270" b="9525"/>
                  <wp:docPr id="1" name="图片 1" descr="E:\wangjj\GB14167\i-Size试验照片\5C6191E486611E4E9D7C2DDE5EC0C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wangjj\GB14167\i-Size试验照片\5C6191E486611E4E9D7C2DDE5EC0CE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75194" cy="1632042"/>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170430" cy="1628140"/>
                  <wp:effectExtent l="0" t="0" r="1270" b="0"/>
                  <wp:docPr id="3" name="图片 3" descr="E:\wangjj\GB14167\i-Size试验照片\E6D2192A535645899881F0F6B5C3C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wangjj\GB14167\i-Size试验照片\E6D2192A535645899881F0F6B5C3C65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77449" cy="1633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continue"/>
          </w:tcPr>
          <w:p>
            <w:pPr>
              <w:ind w:firstLine="0" w:firstLineChars="0"/>
              <w:rPr>
                <w:color w:val="000000" w:themeColor="text1"/>
                <w14:textFill>
                  <w14:solidFill>
                    <w14:schemeClr w14:val="tx1"/>
                  </w14:solidFill>
                </w14:textFill>
              </w:rPr>
            </w:pPr>
          </w:p>
        </w:tc>
        <w:tc>
          <w:tcPr>
            <w:tcW w:w="8101" w:type="dxa"/>
            <w:gridSpan w:val="3"/>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试验曲线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3" w:hRule="atLeast"/>
        </w:trPr>
        <w:tc>
          <w:tcPr>
            <w:tcW w:w="421" w:type="dxa"/>
            <w:vMerge w:val="continue"/>
          </w:tcPr>
          <w:p>
            <w:pPr>
              <w:ind w:firstLine="0" w:firstLineChars="0"/>
              <w:rPr>
                <w:color w:val="000000" w:themeColor="text1"/>
                <w14:textFill>
                  <w14:solidFill>
                    <w14:schemeClr w14:val="tx1"/>
                  </w14:solidFill>
                </w14:textFill>
              </w:rPr>
            </w:pPr>
          </w:p>
        </w:tc>
        <w:tc>
          <w:tcPr>
            <w:tcW w:w="8101" w:type="dxa"/>
            <w:gridSpan w:val="3"/>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067935" cy="2314575"/>
                  <wp:effectExtent l="0" t="0" r="1206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072618" cy="23167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continue"/>
          </w:tcPr>
          <w:p>
            <w:pPr>
              <w:ind w:firstLine="0" w:firstLineChars="0"/>
              <w:rPr>
                <w:color w:val="000000" w:themeColor="text1"/>
                <w14:textFill>
                  <w14:solidFill>
                    <w14:schemeClr w14:val="tx1"/>
                  </w14:solidFill>
                </w14:textFill>
              </w:rPr>
            </w:pPr>
          </w:p>
        </w:tc>
        <w:tc>
          <w:tcPr>
            <w:tcW w:w="8101" w:type="dxa"/>
            <w:gridSpan w:val="3"/>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试验数据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421" w:type="dxa"/>
            <w:vMerge w:val="continue"/>
          </w:tcPr>
          <w:p>
            <w:pPr>
              <w:ind w:firstLine="0" w:firstLineChars="0"/>
              <w:rPr>
                <w:color w:val="000000" w:themeColor="text1"/>
                <w14:textFill>
                  <w14:solidFill>
                    <w14:schemeClr w14:val="tx1"/>
                  </w14:solidFill>
                </w14:textFill>
              </w:rPr>
            </w:pPr>
          </w:p>
        </w:tc>
        <w:tc>
          <w:tcPr>
            <w:tcW w:w="3375" w:type="dxa"/>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左席：F=8.14kN ，</w:t>
            </w:r>
          </w:p>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最大位移量P=56.4mm</w:t>
            </w:r>
          </w:p>
        </w:tc>
        <w:tc>
          <w:tcPr>
            <w:tcW w:w="4726" w:type="dxa"/>
            <w:gridSpan w:val="2"/>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右席：F=8.14kN ，</w:t>
            </w:r>
          </w:p>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最大位移量P=58.4mm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restart"/>
            <w:vAlign w:val="center"/>
          </w:tcPr>
          <w:p>
            <w:pPr>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样</w:t>
            </w:r>
          </w:p>
          <w:p>
            <w:pPr>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品</w:t>
            </w:r>
          </w:p>
          <w:p>
            <w:pPr>
              <w:ind w:firstLine="0" w:firstLineChars="0"/>
              <w:jc w:val="center"/>
              <w:rPr>
                <w:color w:val="000000" w:themeColor="text1"/>
                <w14:textFill>
                  <w14:solidFill>
                    <w14:schemeClr w14:val="tx1"/>
                  </w14:solidFill>
                </w14:textFill>
              </w:rPr>
            </w:pPr>
            <w:r>
              <w:rPr>
                <w:rFonts w:hint="eastAsia"/>
                <w:b/>
                <w:color w:val="000000" w:themeColor="text1"/>
                <w14:textFill>
                  <w14:solidFill>
                    <w14:schemeClr w14:val="tx1"/>
                  </w14:solidFill>
                </w14:textFill>
              </w:rPr>
              <w:t>B</w:t>
            </w:r>
          </w:p>
        </w:tc>
        <w:tc>
          <w:tcPr>
            <w:tcW w:w="8101" w:type="dxa"/>
            <w:gridSpan w:val="3"/>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试验照片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421" w:type="dxa"/>
            <w:vMerge w:val="continue"/>
          </w:tcPr>
          <w:p>
            <w:pPr>
              <w:ind w:firstLine="0" w:firstLineChars="0"/>
              <w:rPr>
                <w:color w:val="000000" w:themeColor="text1"/>
                <w14:textFill>
                  <w14:solidFill>
                    <w14:schemeClr w14:val="tx1"/>
                  </w14:solidFill>
                </w14:textFill>
              </w:rPr>
            </w:pPr>
          </w:p>
        </w:tc>
        <w:tc>
          <w:tcPr>
            <w:tcW w:w="8101" w:type="dxa"/>
            <w:gridSpan w:val="3"/>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122805" cy="1592580"/>
                  <wp:effectExtent l="0" t="0" r="0" b="7620"/>
                  <wp:docPr id="8" name="图片 8" descr="E:\wangjj\GB14167\i-Size试验照片\二\IMG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wangjj\GB14167\i-Size试验照片\二\IMG_11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25309" cy="1594614"/>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130425" cy="1598295"/>
                  <wp:effectExtent l="0" t="0" r="3175" b="1905"/>
                  <wp:docPr id="9" name="图片 9" descr="E:\wangjj\GB14167\i-Size试验照片\二\IMG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wangjj\GB14167\i-Size试验照片\二\IMG_11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31504" cy="159926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continue"/>
          </w:tcPr>
          <w:p>
            <w:pPr>
              <w:ind w:firstLine="0" w:firstLineChars="0"/>
              <w:rPr>
                <w:color w:val="000000" w:themeColor="text1"/>
                <w14:textFill>
                  <w14:solidFill>
                    <w14:schemeClr w14:val="tx1"/>
                  </w14:solidFill>
                </w14:textFill>
              </w:rPr>
            </w:pPr>
          </w:p>
        </w:tc>
        <w:tc>
          <w:tcPr>
            <w:tcW w:w="8101" w:type="dxa"/>
            <w:gridSpan w:val="3"/>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试验曲线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3" w:hRule="atLeast"/>
        </w:trPr>
        <w:tc>
          <w:tcPr>
            <w:tcW w:w="421" w:type="dxa"/>
            <w:vMerge w:val="continue"/>
          </w:tcPr>
          <w:p>
            <w:pPr>
              <w:ind w:firstLine="0" w:firstLineChars="0"/>
              <w:rPr>
                <w:color w:val="000000" w:themeColor="text1"/>
                <w14:textFill>
                  <w14:solidFill>
                    <w14:schemeClr w14:val="tx1"/>
                  </w14:solidFill>
                </w14:textFill>
              </w:rPr>
            </w:pPr>
          </w:p>
        </w:tc>
        <w:tc>
          <w:tcPr>
            <w:tcW w:w="8101" w:type="dxa"/>
            <w:gridSpan w:val="3"/>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51755" cy="23475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159885" cy="235180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continue"/>
          </w:tcPr>
          <w:p>
            <w:pPr>
              <w:ind w:firstLine="0" w:firstLineChars="0"/>
              <w:rPr>
                <w:color w:val="000000" w:themeColor="text1"/>
                <w14:textFill>
                  <w14:solidFill>
                    <w14:schemeClr w14:val="tx1"/>
                  </w14:solidFill>
                </w14:textFill>
              </w:rPr>
            </w:pPr>
          </w:p>
        </w:tc>
        <w:tc>
          <w:tcPr>
            <w:tcW w:w="8101" w:type="dxa"/>
            <w:gridSpan w:val="3"/>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试验数据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continue"/>
          </w:tcPr>
          <w:p>
            <w:pPr>
              <w:ind w:firstLine="0" w:firstLineChars="0"/>
              <w:rPr>
                <w:color w:val="000000" w:themeColor="text1"/>
                <w14:textFill>
                  <w14:solidFill>
                    <w14:schemeClr w14:val="tx1"/>
                  </w14:solidFill>
                </w14:textFill>
              </w:rPr>
            </w:pPr>
          </w:p>
        </w:tc>
        <w:tc>
          <w:tcPr>
            <w:tcW w:w="3375" w:type="dxa"/>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左席：F=8.13kN ，</w:t>
            </w:r>
          </w:p>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最大位移量P=45.6mm</w:t>
            </w:r>
          </w:p>
        </w:tc>
        <w:tc>
          <w:tcPr>
            <w:tcW w:w="4726" w:type="dxa"/>
            <w:gridSpan w:val="2"/>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右席：F=8.14kN ，</w:t>
            </w:r>
          </w:p>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最大位移量P=46.0mm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restart"/>
            <w:vAlign w:val="center"/>
          </w:tcPr>
          <w:p>
            <w:pPr>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样品C</w:t>
            </w:r>
          </w:p>
        </w:tc>
        <w:tc>
          <w:tcPr>
            <w:tcW w:w="8101" w:type="dxa"/>
            <w:gridSpan w:val="3"/>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试验照片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continue"/>
          </w:tcPr>
          <w:p>
            <w:pPr>
              <w:ind w:firstLine="0" w:firstLineChars="0"/>
              <w:rPr>
                <w:color w:val="000000" w:themeColor="text1"/>
                <w14:textFill>
                  <w14:solidFill>
                    <w14:schemeClr w14:val="tx1"/>
                  </w14:solidFill>
                </w14:textFill>
              </w:rPr>
            </w:pPr>
          </w:p>
        </w:tc>
        <w:tc>
          <w:tcPr>
            <w:tcW w:w="8101" w:type="dxa"/>
            <w:gridSpan w:val="3"/>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33930" cy="1676400"/>
                  <wp:effectExtent l="0" t="0" r="0" b="0"/>
                  <wp:docPr id="25" name="图片 25" descr="E:\wangjj\GB14167\i-Size试验照片\三\IMG_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wangjj\GB14167\i-Size试验照片\三\IMG_41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35024" cy="1676932"/>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238375" cy="1679575"/>
                  <wp:effectExtent l="0" t="0" r="9525" b="0"/>
                  <wp:docPr id="26" name="图片 26" descr="E:\wangjj\GB14167\i-Size试验照片\三\IMG_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wangjj\GB14167\i-Size试验照片\三\IMG_41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42587" cy="168260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continue"/>
            <w:vAlign w:val="center"/>
          </w:tcPr>
          <w:p>
            <w:pPr>
              <w:ind w:firstLine="0" w:firstLineChars="0"/>
              <w:rPr>
                <w:b/>
                <w:color w:val="000000" w:themeColor="text1"/>
                <w14:textFill>
                  <w14:solidFill>
                    <w14:schemeClr w14:val="tx1"/>
                  </w14:solidFill>
                </w14:textFill>
              </w:rPr>
            </w:pPr>
          </w:p>
        </w:tc>
        <w:tc>
          <w:tcPr>
            <w:tcW w:w="8101" w:type="dxa"/>
            <w:gridSpan w:val="3"/>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试验曲线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5" w:hRule="atLeast"/>
        </w:trPr>
        <w:tc>
          <w:tcPr>
            <w:tcW w:w="421" w:type="dxa"/>
            <w:vMerge w:val="continue"/>
          </w:tcPr>
          <w:p>
            <w:pPr>
              <w:ind w:firstLine="0" w:firstLineChars="0"/>
              <w:rPr>
                <w:color w:val="000000" w:themeColor="text1"/>
                <w14:textFill>
                  <w14:solidFill>
                    <w14:schemeClr w14:val="tx1"/>
                  </w14:solidFill>
                </w14:textFill>
              </w:rPr>
            </w:pPr>
          </w:p>
        </w:tc>
        <w:tc>
          <w:tcPr>
            <w:tcW w:w="8101" w:type="dxa"/>
            <w:gridSpan w:val="3"/>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864735" cy="2128520"/>
                  <wp:effectExtent l="0" t="0" r="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4873614" cy="213276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continue"/>
          </w:tcPr>
          <w:p>
            <w:pPr>
              <w:ind w:firstLine="0" w:firstLineChars="0"/>
              <w:rPr>
                <w:color w:val="000000" w:themeColor="text1"/>
                <w14:textFill>
                  <w14:solidFill>
                    <w14:schemeClr w14:val="tx1"/>
                  </w14:solidFill>
                </w14:textFill>
              </w:rPr>
            </w:pPr>
          </w:p>
        </w:tc>
        <w:tc>
          <w:tcPr>
            <w:tcW w:w="8101" w:type="dxa"/>
            <w:gridSpan w:val="3"/>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试验数据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continue"/>
          </w:tcPr>
          <w:p>
            <w:pPr>
              <w:ind w:firstLine="0" w:firstLineChars="0"/>
              <w:rPr>
                <w:color w:val="000000" w:themeColor="text1"/>
                <w14:textFill>
                  <w14:solidFill>
                    <w14:schemeClr w14:val="tx1"/>
                  </w14:solidFill>
                </w14:textFill>
              </w:rPr>
            </w:pPr>
          </w:p>
        </w:tc>
        <w:tc>
          <w:tcPr>
            <w:tcW w:w="3596" w:type="dxa"/>
            <w:gridSpan w:val="2"/>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左席：F=8.17kN ，</w:t>
            </w:r>
          </w:p>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最大位移量P=58.9mm</w:t>
            </w:r>
          </w:p>
        </w:tc>
        <w:tc>
          <w:tcPr>
            <w:tcW w:w="4505" w:type="dxa"/>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右席：F=8.12kN ，</w:t>
            </w:r>
          </w:p>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最大位移量P=46.5mm</w:t>
            </w:r>
          </w:p>
        </w:tc>
      </w:tr>
    </w:tbl>
    <w:p>
      <w:pPr>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b/>
          <w:color w:val="000000" w:themeColor="text1"/>
          <w14:textFill>
            <w14:solidFill>
              <w14:schemeClr w14:val="tx1"/>
            </w14:solidFill>
          </w14:textFill>
        </w:rPr>
        <w:t>侧向座椅安全带固定点试验</w:t>
      </w:r>
    </w:p>
    <w:p>
      <w:pPr>
        <w:pStyle w:val="16"/>
        <w:spacing w:line="400" w:lineRule="exact"/>
        <w:ind w:firstLine="422"/>
        <w:rPr>
          <w:rFonts w:ascii="宋体" w:hAnsi="宋体"/>
          <w:color w:val="000000" w:themeColor="text1"/>
          <w:lang w:val="en-GB"/>
          <w14:textFill>
            <w14:solidFill>
              <w14:schemeClr w14:val="tx1"/>
            </w14:solidFill>
          </w14:textFill>
        </w:rPr>
      </w:pPr>
      <w:r>
        <w:rPr>
          <w:b/>
          <w:color w:val="000000" w:themeColor="text1"/>
          <w14:textFill>
            <w14:solidFill>
              <w14:schemeClr w14:val="tx1"/>
            </w14:solidFill>
          </w14:textFill>
        </w:rPr>
        <w:t>试验方法</w:t>
      </w:r>
      <w:r>
        <w:rPr>
          <w:rFonts w:hint="eastAsia"/>
          <w:color w:val="000000" w:themeColor="text1"/>
          <w14:textFill>
            <w14:solidFill>
              <w14:schemeClr w14:val="tx1"/>
            </w14:solidFill>
          </w14:textFill>
        </w:rPr>
        <w:t>：</w:t>
      </w:r>
      <w:r>
        <w:rPr>
          <w:rFonts w:hint="eastAsia" w:ascii="宋体" w:hAnsi="宋体"/>
          <w:color w:val="000000" w:themeColor="text1"/>
          <w:lang w:val="en-GB"/>
          <w14:textFill>
            <w14:solidFill>
              <w14:schemeClr w14:val="tx1"/>
            </w14:solidFill>
          </w14:textFill>
        </w:rPr>
        <w:t>按照现行标准规定的M</w:t>
      </w:r>
      <w:r>
        <w:rPr>
          <w:rFonts w:hint="eastAsia" w:ascii="宋体" w:hAnsi="宋体"/>
          <w:color w:val="000000" w:themeColor="text1"/>
          <w:vertAlign w:val="subscript"/>
          <w:lang w:val="en-GB"/>
          <w14:textFill>
            <w14:solidFill>
              <w14:schemeClr w14:val="tx1"/>
            </w14:solidFill>
          </w14:textFill>
        </w:rPr>
        <w:t>3</w:t>
      </w:r>
      <w:r>
        <w:rPr>
          <w:rFonts w:hint="eastAsia" w:ascii="宋体" w:hAnsi="宋体"/>
          <w:color w:val="000000" w:themeColor="text1"/>
          <w:lang w:val="en-GB"/>
          <w14:textFill>
            <w14:solidFill>
              <w14:schemeClr w14:val="tx1"/>
            </w14:solidFill>
          </w14:textFill>
        </w:rPr>
        <w:t>类车辆的试验载荷值对固定点进行加载。如果侧向座椅是安装在一个基本框架上的座椅组，座椅组中每个乘坐位置的安全带固定点应单独进行试验。（</w:t>
      </w:r>
      <w:r>
        <w:rPr>
          <w:rFonts w:hint="eastAsia"/>
          <w:color w:val="000000" w:themeColor="text1"/>
          <w14:textFill>
            <w14:solidFill>
              <w14:schemeClr w14:val="tx1"/>
            </w14:solidFill>
          </w14:textFill>
        </w:rPr>
        <w:t>因其他标准对侧向座椅的安装有要求，故现有整车安装侧向座椅和侧向座椅安全带固定点的情况很少，故验证样品数量有限。）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7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pPr>
              <w:pStyle w:val="16"/>
              <w:spacing w:line="400" w:lineRule="exact"/>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样</w:t>
            </w:r>
          </w:p>
          <w:p>
            <w:pPr>
              <w:pStyle w:val="16"/>
              <w:spacing w:line="400" w:lineRule="exact"/>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品</w:t>
            </w:r>
          </w:p>
          <w:p>
            <w:pPr>
              <w:pStyle w:val="16"/>
              <w:spacing w:line="400" w:lineRule="exact"/>
              <w:ind w:firstLine="0" w:firstLineChars="0"/>
              <w:jc w:val="center"/>
              <w:rPr>
                <w:color w:val="000000" w:themeColor="text1"/>
                <w14:textFill>
                  <w14:solidFill>
                    <w14:schemeClr w14:val="tx1"/>
                  </w14:solidFill>
                </w14:textFill>
              </w:rPr>
            </w:pPr>
            <w:r>
              <w:rPr>
                <w:rFonts w:hint="eastAsia"/>
                <w:b/>
                <w:color w:val="000000" w:themeColor="text1"/>
                <w14:textFill>
                  <w14:solidFill>
                    <w14:schemeClr w14:val="tx1"/>
                  </w14:solidFill>
                </w14:textFill>
              </w:rPr>
              <w:t>D</w:t>
            </w:r>
          </w:p>
        </w:tc>
        <w:tc>
          <w:tcPr>
            <w:tcW w:w="7988" w:type="dxa"/>
          </w:tcPr>
          <w:p>
            <w:pPr>
              <w:pStyle w:val="16"/>
              <w:spacing w:line="400" w:lineRule="exact"/>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试验照片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1" w:hRule="atLeast"/>
        </w:trPr>
        <w:tc>
          <w:tcPr>
            <w:tcW w:w="534" w:type="dxa"/>
            <w:vMerge w:val="continue"/>
          </w:tcPr>
          <w:p>
            <w:pPr>
              <w:pStyle w:val="16"/>
              <w:spacing w:line="400" w:lineRule="exact"/>
              <w:ind w:firstLine="0" w:firstLineChars="0"/>
              <w:rPr>
                <w:color w:val="000000" w:themeColor="text1"/>
                <w14:textFill>
                  <w14:solidFill>
                    <w14:schemeClr w14:val="tx1"/>
                  </w14:solidFill>
                </w14:textFill>
              </w:rPr>
            </w:pPr>
          </w:p>
        </w:tc>
        <w:tc>
          <w:tcPr>
            <w:tcW w:w="7988" w:type="dxa"/>
          </w:tcPr>
          <w:p>
            <w:pPr>
              <w:pStyle w:val="16"/>
              <w:spacing w:line="400" w:lineRule="exact"/>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1" locked="0" layoutInCell="1" allowOverlap="1">
                  <wp:simplePos x="0" y="0"/>
                  <wp:positionH relativeFrom="column">
                    <wp:posOffset>28575</wp:posOffset>
                  </wp:positionH>
                  <wp:positionV relativeFrom="paragraph">
                    <wp:posOffset>1905</wp:posOffset>
                  </wp:positionV>
                  <wp:extent cx="2242185" cy="1682115"/>
                  <wp:effectExtent l="0" t="0" r="5715" b="0"/>
                  <wp:wrapTight wrapText="bothSides">
                    <wp:wrapPolygon>
                      <wp:start x="0" y="0"/>
                      <wp:lineTo x="0" y="21282"/>
                      <wp:lineTo x="21472" y="21282"/>
                      <wp:lineTo x="21472" y="0"/>
                      <wp:lineTo x="0" y="0"/>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2185" cy="1682115"/>
                          </a:xfrm>
                          <a:prstGeom prst="rect">
                            <a:avLst/>
                          </a:prstGeom>
                        </pic:spPr>
                      </pic:pic>
                    </a:graphicData>
                  </a:graphic>
                </wp:anchor>
              </w:drawing>
            </w:r>
            <w:r>
              <w:rPr>
                <w:color w:val="000000" w:themeColor="text1"/>
                <w14:textFill>
                  <w14:solidFill>
                    <w14:schemeClr w14:val="tx1"/>
                  </w14:solidFill>
                </w14:textFill>
              </w:rPr>
              <w:drawing>
                <wp:anchor distT="0" distB="0" distL="114300" distR="114300" simplePos="0" relativeHeight="251660288" behindDoc="1" locked="0" layoutInCell="1" allowOverlap="1">
                  <wp:simplePos x="0" y="0"/>
                  <wp:positionH relativeFrom="column">
                    <wp:posOffset>2437765</wp:posOffset>
                  </wp:positionH>
                  <wp:positionV relativeFrom="paragraph">
                    <wp:posOffset>-8255</wp:posOffset>
                  </wp:positionV>
                  <wp:extent cx="2249170" cy="1687195"/>
                  <wp:effectExtent l="0" t="0" r="0" b="8255"/>
                  <wp:wrapTight wrapText="bothSides">
                    <wp:wrapPolygon>
                      <wp:start x="0" y="0"/>
                      <wp:lineTo x="0" y="21462"/>
                      <wp:lineTo x="21405" y="21462"/>
                      <wp:lineTo x="21405"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9170" cy="16871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4" w:type="dxa"/>
            <w:vMerge w:val="continue"/>
          </w:tcPr>
          <w:p>
            <w:pPr>
              <w:pStyle w:val="16"/>
              <w:spacing w:line="400" w:lineRule="exact"/>
              <w:ind w:firstLine="0" w:firstLineChars="0"/>
              <w:rPr>
                <w:color w:val="000000" w:themeColor="text1"/>
                <w14:textFill>
                  <w14:solidFill>
                    <w14:schemeClr w14:val="tx1"/>
                  </w14:solidFill>
                </w14:textFill>
              </w:rPr>
            </w:pPr>
          </w:p>
        </w:tc>
        <w:tc>
          <w:tcPr>
            <w:tcW w:w="7988" w:type="dxa"/>
          </w:tcPr>
          <w:p>
            <w:pPr>
              <w:pStyle w:val="16"/>
              <w:spacing w:line="400" w:lineRule="exact"/>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试验曲线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534" w:type="dxa"/>
            <w:vMerge w:val="continue"/>
          </w:tcPr>
          <w:p>
            <w:pPr>
              <w:pStyle w:val="16"/>
              <w:spacing w:line="400" w:lineRule="exact"/>
              <w:ind w:firstLine="0" w:firstLineChars="0"/>
              <w:rPr>
                <w:color w:val="000000" w:themeColor="text1"/>
                <w14:textFill>
                  <w14:solidFill>
                    <w14:schemeClr w14:val="tx1"/>
                  </w14:solidFill>
                </w14:textFill>
              </w:rPr>
            </w:pPr>
          </w:p>
        </w:tc>
        <w:tc>
          <w:tcPr>
            <w:tcW w:w="7988" w:type="dxa"/>
          </w:tcPr>
          <w:p>
            <w:pPr>
              <w:pStyle w:val="16"/>
              <w:spacing w:line="400" w:lineRule="exact"/>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1" locked="0" layoutInCell="1" allowOverlap="1">
                  <wp:simplePos x="0" y="0"/>
                  <wp:positionH relativeFrom="column">
                    <wp:posOffset>600710</wp:posOffset>
                  </wp:positionH>
                  <wp:positionV relativeFrom="paragraph">
                    <wp:posOffset>47625</wp:posOffset>
                  </wp:positionV>
                  <wp:extent cx="3660775" cy="1661795"/>
                  <wp:effectExtent l="0" t="0" r="0" b="0"/>
                  <wp:wrapTight wrapText="bothSides">
                    <wp:wrapPolygon>
                      <wp:start x="0" y="0"/>
                      <wp:lineTo x="0" y="21295"/>
                      <wp:lineTo x="21469" y="21295"/>
                      <wp:lineTo x="21469"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0775" cy="16617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34" w:type="dxa"/>
            <w:vMerge w:val="continue"/>
          </w:tcPr>
          <w:p>
            <w:pPr>
              <w:pStyle w:val="16"/>
              <w:spacing w:line="400" w:lineRule="exact"/>
              <w:ind w:firstLine="0" w:firstLineChars="0"/>
              <w:rPr>
                <w:color w:val="000000" w:themeColor="text1"/>
                <w14:textFill>
                  <w14:solidFill>
                    <w14:schemeClr w14:val="tx1"/>
                  </w14:solidFill>
                </w14:textFill>
              </w:rPr>
            </w:pPr>
          </w:p>
        </w:tc>
        <w:tc>
          <w:tcPr>
            <w:tcW w:w="7988" w:type="dxa"/>
          </w:tcPr>
          <w:p>
            <w:pPr>
              <w:pStyle w:val="16"/>
              <w:spacing w:line="400" w:lineRule="exact"/>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试验结果</w:t>
            </w:r>
            <w:r>
              <w:rPr>
                <w:rFonts w:hint="eastAsia"/>
                <w:color w:val="000000" w:themeColor="text1"/>
                <w14:textFill>
                  <w14:solidFill>
                    <w14:schemeClr w14:val="tx1"/>
                  </w14:solidFill>
                </w14:textFill>
              </w:rPr>
              <w:t>：安全带固定点均能承受标准载荷，未发生损坏及失效。</w:t>
            </w:r>
          </w:p>
        </w:tc>
      </w:tr>
    </w:tbl>
    <w:p>
      <w:pPr>
        <w:pStyle w:val="16"/>
        <w:spacing w:line="400" w:lineRule="exact"/>
        <w:rPr>
          <w:color w:val="000000" w:themeColor="text1"/>
          <w14:textFill>
            <w14:solidFill>
              <w14:schemeClr w14:val="tx1"/>
            </w14:solidFill>
          </w14:textFill>
        </w:rPr>
      </w:pPr>
    </w:p>
    <w:p>
      <w:pPr>
        <w:pStyle w:val="16"/>
        <w:spacing w:line="4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3）侧向座椅的基本框架试验</w:t>
      </w:r>
    </w:p>
    <w:p>
      <w:pPr>
        <w:shd w:val="clear" w:color="auto" w:fill="FFFFFF"/>
        <w:spacing w:line="400" w:lineRule="exact"/>
        <w:ind w:firstLine="420"/>
        <w:rPr>
          <w:rFonts w:hint="eastAsia" w:cs="Arial"/>
          <w:color w:val="000000" w:themeColor="text1"/>
          <w:szCs w:val="21"/>
          <w:lang w:val="en-GB"/>
          <w14:textFill>
            <w14:solidFill>
              <w14:schemeClr w14:val="tx1"/>
            </w14:solidFill>
          </w14:textFill>
        </w:rPr>
      </w:pPr>
      <w:r>
        <w:rPr>
          <w:rFonts w:hint="eastAsia" w:cs="Arial"/>
          <w:color w:val="000000" w:themeColor="text1"/>
          <w:szCs w:val="21"/>
          <w14:textFill>
            <w14:solidFill>
              <w14:schemeClr w14:val="tx1"/>
            </w14:solidFill>
          </w14:textFill>
        </w:rPr>
        <w:t>试验方法：</w:t>
      </w:r>
      <w:r>
        <w:rPr>
          <w:rFonts w:hint="eastAsia" w:cs="Arial"/>
          <w:color w:val="000000" w:themeColor="text1"/>
          <w:szCs w:val="21"/>
          <w:lang w:val="en-GB"/>
          <w14:textFill>
            <w14:solidFill>
              <w14:schemeClr w14:val="tx1"/>
            </w14:solidFill>
          </w14:textFill>
        </w:rPr>
        <w:t>一个或一组侧向座椅的基本框架应按照现行标准规定的M3类车辆的试验载荷值进行加载。如果侧向座椅是安装在一个基本框架上的座椅组，则该组中所有座椅应同时进行试验。标准规定的加载点应尽可能靠近H点并位于通过每个乘坐位置H点的水平面与横向垂直平面的交线上。</w:t>
      </w:r>
    </w:p>
    <w:p>
      <w:pPr>
        <w:pStyle w:val="16"/>
        <w:spacing w:line="400" w:lineRule="exact"/>
        <w:rPr>
          <w:color w:val="000000" w:themeColor="text1"/>
          <w:lang w:val="en-GB"/>
          <w14:textFill>
            <w14:solidFill>
              <w14:schemeClr w14:val="tx1"/>
            </w14:solidFill>
          </w14:textFill>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7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pPr>
              <w:pStyle w:val="16"/>
              <w:spacing w:line="400" w:lineRule="exact"/>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样</w:t>
            </w:r>
          </w:p>
          <w:p>
            <w:pPr>
              <w:pStyle w:val="16"/>
              <w:spacing w:line="400" w:lineRule="exact"/>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品</w:t>
            </w:r>
          </w:p>
          <w:p>
            <w:pPr>
              <w:pStyle w:val="16"/>
              <w:spacing w:line="400" w:lineRule="exact"/>
              <w:ind w:firstLine="0" w:firstLineChars="0"/>
              <w:jc w:val="center"/>
              <w:rPr>
                <w:color w:val="000000" w:themeColor="text1"/>
                <w14:textFill>
                  <w14:solidFill>
                    <w14:schemeClr w14:val="tx1"/>
                  </w14:solidFill>
                </w14:textFill>
              </w:rPr>
            </w:pPr>
            <w:r>
              <w:rPr>
                <w:rFonts w:hint="eastAsia"/>
                <w:b/>
                <w:color w:val="000000" w:themeColor="text1"/>
                <w14:textFill>
                  <w14:solidFill>
                    <w14:schemeClr w14:val="tx1"/>
                  </w14:solidFill>
                </w14:textFill>
              </w:rPr>
              <w:t>E</w:t>
            </w:r>
          </w:p>
        </w:tc>
        <w:tc>
          <w:tcPr>
            <w:tcW w:w="7988" w:type="dxa"/>
          </w:tcPr>
          <w:p>
            <w:pPr>
              <w:pStyle w:val="16"/>
              <w:spacing w:line="400" w:lineRule="exact"/>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试验照片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4" w:hRule="atLeast"/>
        </w:trPr>
        <w:tc>
          <w:tcPr>
            <w:tcW w:w="534" w:type="dxa"/>
            <w:vMerge w:val="continue"/>
          </w:tcPr>
          <w:p>
            <w:pPr>
              <w:pStyle w:val="16"/>
              <w:spacing w:line="400" w:lineRule="exact"/>
              <w:ind w:firstLine="0" w:firstLineChars="0"/>
              <w:rPr>
                <w:color w:val="000000" w:themeColor="text1"/>
                <w14:textFill>
                  <w14:solidFill>
                    <w14:schemeClr w14:val="tx1"/>
                  </w14:solidFill>
                </w14:textFill>
              </w:rPr>
            </w:pPr>
          </w:p>
        </w:tc>
        <w:tc>
          <w:tcPr>
            <w:tcW w:w="7988" w:type="dxa"/>
          </w:tcPr>
          <w:p>
            <w:pPr>
              <w:pStyle w:val="16"/>
              <w:adjustRightInd w:val="0"/>
              <w:snapToGrid w:val="0"/>
              <w:spacing w:line="400" w:lineRule="exact"/>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1" locked="0" layoutInCell="1" allowOverlap="1">
                  <wp:simplePos x="0" y="0"/>
                  <wp:positionH relativeFrom="column">
                    <wp:posOffset>-11430</wp:posOffset>
                  </wp:positionH>
                  <wp:positionV relativeFrom="paragraph">
                    <wp:posOffset>49530</wp:posOffset>
                  </wp:positionV>
                  <wp:extent cx="2371725" cy="1778635"/>
                  <wp:effectExtent l="0" t="0" r="9525" b="0"/>
                  <wp:wrapTight wrapText="bothSides">
                    <wp:wrapPolygon>
                      <wp:start x="0" y="0"/>
                      <wp:lineTo x="0" y="21284"/>
                      <wp:lineTo x="21513" y="21284"/>
                      <wp:lineTo x="21513"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1725" cy="1778635"/>
                          </a:xfrm>
                          <a:prstGeom prst="rect">
                            <a:avLst/>
                          </a:prstGeom>
                        </pic:spPr>
                      </pic:pic>
                    </a:graphicData>
                  </a:graphic>
                </wp:anchor>
              </w:drawing>
            </w:r>
            <w:r>
              <w:rPr>
                <w:color w:val="000000" w:themeColor="text1"/>
                <w14:textFill>
                  <w14:solidFill>
                    <w14:schemeClr w14:val="tx1"/>
                  </w14:solidFill>
                </w14:textFill>
              </w:rPr>
              <w:drawing>
                <wp:anchor distT="0" distB="0" distL="114300" distR="114300" simplePos="0" relativeHeight="251663360" behindDoc="1" locked="0" layoutInCell="1" allowOverlap="1">
                  <wp:simplePos x="0" y="0"/>
                  <wp:positionH relativeFrom="column">
                    <wp:posOffset>2461260</wp:posOffset>
                  </wp:positionH>
                  <wp:positionV relativeFrom="paragraph">
                    <wp:posOffset>-2540</wp:posOffset>
                  </wp:positionV>
                  <wp:extent cx="2385060" cy="1788795"/>
                  <wp:effectExtent l="0" t="0" r="0" b="1905"/>
                  <wp:wrapTight wrapText="bothSides">
                    <wp:wrapPolygon>
                      <wp:start x="0" y="0"/>
                      <wp:lineTo x="0" y="21393"/>
                      <wp:lineTo x="21393" y="21393"/>
                      <wp:lineTo x="21393"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5060" cy="17887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34" w:type="dxa"/>
            <w:vMerge w:val="continue"/>
          </w:tcPr>
          <w:p>
            <w:pPr>
              <w:pStyle w:val="16"/>
              <w:spacing w:line="400" w:lineRule="exact"/>
              <w:ind w:firstLine="0" w:firstLineChars="0"/>
              <w:rPr>
                <w:color w:val="000000" w:themeColor="text1"/>
                <w14:textFill>
                  <w14:solidFill>
                    <w14:schemeClr w14:val="tx1"/>
                  </w14:solidFill>
                </w14:textFill>
              </w:rPr>
            </w:pPr>
          </w:p>
        </w:tc>
        <w:tc>
          <w:tcPr>
            <w:tcW w:w="7988" w:type="dxa"/>
          </w:tcPr>
          <w:p>
            <w:pPr>
              <w:pStyle w:val="16"/>
              <w:spacing w:line="400" w:lineRule="exact"/>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试验曲线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6" w:hRule="atLeast"/>
        </w:trPr>
        <w:tc>
          <w:tcPr>
            <w:tcW w:w="534" w:type="dxa"/>
            <w:vMerge w:val="continue"/>
          </w:tcPr>
          <w:p>
            <w:pPr>
              <w:pStyle w:val="16"/>
              <w:spacing w:line="400" w:lineRule="exact"/>
              <w:ind w:firstLine="0" w:firstLineChars="0"/>
              <w:rPr>
                <w:color w:val="000000" w:themeColor="text1"/>
                <w14:textFill>
                  <w14:solidFill>
                    <w14:schemeClr w14:val="tx1"/>
                  </w14:solidFill>
                </w14:textFill>
              </w:rPr>
            </w:pPr>
          </w:p>
        </w:tc>
        <w:tc>
          <w:tcPr>
            <w:tcW w:w="7988" w:type="dxa"/>
          </w:tcPr>
          <w:p>
            <w:pPr>
              <w:pStyle w:val="16"/>
              <w:spacing w:line="400" w:lineRule="exact"/>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4384" behindDoc="1" locked="0" layoutInCell="1" allowOverlap="1">
                  <wp:simplePos x="0" y="0"/>
                  <wp:positionH relativeFrom="column">
                    <wp:posOffset>179705</wp:posOffset>
                  </wp:positionH>
                  <wp:positionV relativeFrom="paragraph">
                    <wp:posOffset>63500</wp:posOffset>
                  </wp:positionV>
                  <wp:extent cx="4538980" cy="2030095"/>
                  <wp:effectExtent l="0" t="0" r="0" b="8255"/>
                  <wp:wrapTight wrapText="bothSides">
                    <wp:wrapPolygon>
                      <wp:start x="0" y="0"/>
                      <wp:lineTo x="0" y="21485"/>
                      <wp:lineTo x="21485" y="21485"/>
                      <wp:lineTo x="21485" y="0"/>
                      <wp:lineTo x="0" y="0"/>
                    </wp:wrapPolygon>
                  </wp:wrapTight>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38980" cy="20300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34" w:type="dxa"/>
            <w:vMerge w:val="continue"/>
          </w:tcPr>
          <w:p>
            <w:pPr>
              <w:pStyle w:val="16"/>
              <w:spacing w:line="400" w:lineRule="exact"/>
              <w:ind w:firstLine="0" w:firstLineChars="0"/>
              <w:rPr>
                <w:color w:val="000000" w:themeColor="text1"/>
                <w14:textFill>
                  <w14:solidFill>
                    <w14:schemeClr w14:val="tx1"/>
                  </w14:solidFill>
                </w14:textFill>
              </w:rPr>
            </w:pPr>
          </w:p>
        </w:tc>
        <w:tc>
          <w:tcPr>
            <w:tcW w:w="7988" w:type="dxa"/>
          </w:tcPr>
          <w:p>
            <w:pPr>
              <w:pStyle w:val="16"/>
              <w:spacing w:line="400" w:lineRule="exact"/>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试验结果</w:t>
            </w:r>
            <w:r>
              <w:rPr>
                <w:rFonts w:hint="eastAsia"/>
                <w:color w:val="000000" w:themeColor="text1"/>
                <w14:textFill>
                  <w14:solidFill>
                    <w14:schemeClr w14:val="tx1"/>
                  </w14:solidFill>
                </w14:textFill>
              </w:rPr>
              <w:t>：侧向座椅的基本框架能承受标准载荷，未发生损坏及失效。</w:t>
            </w:r>
          </w:p>
        </w:tc>
      </w:tr>
    </w:tbl>
    <w:p>
      <w:pPr>
        <w:numPr>
          <w:ilvl w:val="0"/>
          <w:numId w:val="1"/>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4" w:name="_Toc64898477"/>
      <w:r>
        <w:rPr>
          <w:rFonts w:hint="eastAsia" w:ascii="黑体" w:hAnsi="黑体" w:eastAsia="黑体" w:cs="宋体"/>
          <w:bCs/>
          <w:color w:val="000000" w:themeColor="text1"/>
          <w:kern w:val="0"/>
          <w:sz w:val="24"/>
          <w14:textFill>
            <w14:solidFill>
              <w14:schemeClr w14:val="tx1"/>
            </w14:solidFill>
          </w14:textFill>
        </w:rPr>
        <w:t>与有关法律、行政法规和其他标准的关系</w:t>
      </w:r>
      <w:bookmarkEnd w:id="24"/>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本标准与GB14166《机动车乘员用安全带和约束系统》和GB 27887《机动车儿童乘员用约束系统》等标准共同构成了汽车强制性标准体系被动安全标准子体系，本标准与现行相关法律、法规、规章及相关标准没有冲突或矛盾。</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5" w:name="_Toc64898478"/>
      <w:r>
        <w:rPr>
          <w:rFonts w:hint="eastAsia" w:ascii="黑体" w:hAnsi="黑体" w:eastAsia="黑体" w:cs="宋体"/>
          <w:bCs/>
          <w:color w:val="000000" w:themeColor="text1"/>
          <w:kern w:val="0"/>
          <w:sz w:val="24"/>
          <w14:textFill>
            <w14:solidFill>
              <w14:schemeClr w14:val="tx1"/>
            </w14:solidFill>
          </w14:textFill>
        </w:rPr>
        <w:t>与国际标准化组织、其他国家或者地区有关法律法规和标准的比对分析</w:t>
      </w:r>
      <w:bookmarkEnd w:id="25"/>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本标准在编制过程中参考了联合国技术法规UN R14《关于机动车安全带安装固定点认证的统一规定》（英文版）及UN R145 《关于机动车ISOFIX固定点系统及上拉带固定点、以及i-Size乘坐位置认证的统一规定》（英文版）及其随后的修改单、增补件等。考虑与国际标准技术内容的一致性、以及我国标准体系的现状，本标准修订后的技术内容与上述两项标准基本一致。</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6" w:name="_Toc64898479"/>
      <w:r>
        <w:rPr>
          <w:rFonts w:hint="eastAsia" w:ascii="黑体" w:hAnsi="黑体" w:eastAsia="黑体" w:cs="宋体"/>
          <w:bCs/>
          <w:color w:val="000000" w:themeColor="text1"/>
          <w:kern w:val="0"/>
          <w:sz w:val="24"/>
          <w14:textFill>
            <w14:solidFill>
              <w14:schemeClr w14:val="tx1"/>
            </w14:solidFill>
          </w14:textFill>
        </w:rPr>
        <w:t>重大分歧意见的处理过程、处理意见及其依据</w:t>
      </w:r>
      <w:bookmarkEnd w:id="26"/>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本标准修订过程中无重大分歧意见。</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7" w:name="_Toc64898480"/>
      <w:r>
        <w:rPr>
          <w:rFonts w:hint="eastAsia" w:ascii="黑体" w:hAnsi="黑体" w:eastAsia="黑体" w:cs="宋体"/>
          <w:bCs/>
          <w:color w:val="000000" w:themeColor="text1"/>
          <w:kern w:val="0"/>
          <w:sz w:val="24"/>
          <w14:textFill>
            <w14:solidFill>
              <w14:schemeClr w14:val="tx1"/>
            </w14:solidFill>
          </w14:textFill>
        </w:rPr>
        <w:t>对强制性国家标准自发布日期至实施日期之间的过渡期的建议及理由</w:t>
      </w:r>
      <w:bookmarkEnd w:id="27"/>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标准在起草过程中广泛征求了各主要车辆制造企业、检测机构的意见，标准技术内容充分考虑了我国整车的设计、制造的技术水平，检测机构也具有相关试验的检测能力，标准实施的基础条件已具备。考虑新增加的i-Size儿童约束固定点和侧向座椅要求的相关内容，车辆制造企业需要设计和验证的时间准备，建议本标准的实施时间为：</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对于新申请车辆型式批准的车型，自本文件实施之日起开始执行；</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对于已获得车辆型式批准的车型，自本文件实施之日起第13个月开始执行。</w:t>
      </w:r>
    </w:p>
    <w:p>
      <w:pPr>
        <w:numPr>
          <w:ilvl w:val="0"/>
          <w:numId w:val="1"/>
        </w:numPr>
        <w:autoSpaceDE w:val="0"/>
        <w:autoSpaceDN w:val="0"/>
        <w:adjustRightInd w:val="0"/>
        <w:spacing w:before="156" w:beforeLines="50" w:after="156" w:afterLines="50" w:line="400" w:lineRule="exact"/>
        <w:ind w:firstLineChars="0"/>
        <w:jc w:val="left"/>
        <w:outlineLvl w:val="0"/>
        <w:rPr>
          <w:rFonts w:ascii="黑体" w:hAnsi="黑体" w:eastAsia="黑体" w:cs="宋体"/>
          <w:bCs/>
          <w:color w:val="000000" w:themeColor="text1"/>
          <w:kern w:val="0"/>
          <w:sz w:val="24"/>
          <w14:textFill>
            <w14:solidFill>
              <w14:schemeClr w14:val="tx1"/>
            </w14:solidFill>
          </w14:textFill>
        </w:rPr>
      </w:pPr>
      <w:bookmarkStart w:id="28" w:name="_Toc64898481"/>
      <w:r>
        <w:rPr>
          <w:rFonts w:hint="eastAsia" w:ascii="黑体" w:hAnsi="黑体" w:eastAsia="黑体" w:cs="宋体"/>
          <w:bCs/>
          <w:color w:val="000000" w:themeColor="text1"/>
          <w:kern w:val="0"/>
          <w:sz w:val="24"/>
          <w14:textFill>
            <w14:solidFill>
              <w14:schemeClr w14:val="tx1"/>
            </w14:solidFill>
          </w14:textFill>
        </w:rPr>
        <w:t>与实施强制性国家标准有关的政策措施</w:t>
      </w:r>
      <w:bookmarkEnd w:id="28"/>
      <w:r>
        <w:rPr>
          <w:rFonts w:hint="eastAsia" w:ascii="黑体" w:hAnsi="黑体" w:eastAsia="黑体" w:cs="宋体"/>
          <w:bCs/>
          <w:color w:val="000000" w:themeColor="text1"/>
          <w:kern w:val="0"/>
          <w:sz w:val="24"/>
          <w14:textFill>
            <w14:solidFill>
              <w14:schemeClr w14:val="tx1"/>
            </w14:solidFill>
          </w14:textFill>
        </w:rPr>
        <w:t>加腾讯会议</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本标准的实施监督管理部门是中华人民共和国工业和信息化部和国家市场监督管理总局。本标准依据的法律法规及配套措施如下</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1）《中华人民共和国标准化法》第二章第十条规定，对保障人身健康和生命财产安全、国家安全、生态环境安全以及满足经济社会管理基本需要的技术要求，应当制定强制性国家标准。</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2）“工业和信息化部关于调整《道路机动车辆生产企业及产品准入许可》事项审批流程及技术规范的通知”（工信部装〔2015〕492号）的附件2“汽车产品同一型号判定技术条件（2015修订版）”中将GB 14167-2013《汽车安全带安装固定点、ISOFIX固定点系统及上拉带固定点》作为《车辆生产企业及产品公告》管理所要求的强制性标准，是汽车产品准入的必要条件。</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3）《车辆生产企业及产品生产一致性监督管理办法》（工产业〔2010〕第109号）附件3《一致性监督检查实施细则》中规定，《公告》规定的强制性标准项目的检验结果均符合要求时，判定为性能符合要求。即在汽车产品在一致性监督中，也应满足GB 14167的要求。</w:t>
      </w:r>
    </w:p>
    <w:p>
      <w:pPr>
        <w:shd w:val="clear" w:color="auto" w:fill="FFFFFF"/>
        <w:spacing w:line="400" w:lineRule="exact"/>
        <w:ind w:firstLine="420"/>
        <w:rPr>
          <w:rFonts w:hint="eastAsia"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4）《国家认监委关于发布机动车辆及安全附件强制性产品认证实施规则的公告》（国家认监委公告〔2020〕8号）的附件《CNCA-C11-01:2020汽车》，将汽车安全带安装固定点（强度暂不检测）、汽车ISOFIX固定点系统及上拉带固定点（强度暂不检测）纳入了汽车及安全附件的强制性产品认证管理中，执行时依据的强制性标准为GB 14167。</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9" w:name="_Toc64898482"/>
      <w:r>
        <w:rPr>
          <w:rFonts w:hint="eastAsia" w:ascii="黑体" w:hAnsi="黑体" w:eastAsia="黑体" w:cs="宋体"/>
          <w:bCs/>
          <w:color w:val="000000" w:themeColor="text1"/>
          <w:kern w:val="0"/>
          <w:sz w:val="24"/>
          <w14:textFill>
            <w14:solidFill>
              <w14:schemeClr w14:val="tx1"/>
            </w14:solidFill>
          </w14:textFill>
        </w:rPr>
        <w:t>是否需要对外通报的建议及理由</w:t>
      </w:r>
      <w:bookmarkEnd w:id="29"/>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本标准涉及整车乘员安全和车辆进出口贸易，需对外通报。</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30" w:name="_Toc64898483"/>
      <w:r>
        <w:rPr>
          <w:rFonts w:hint="eastAsia" w:ascii="黑体" w:hAnsi="黑体" w:eastAsia="黑体" w:cs="宋体"/>
          <w:bCs/>
          <w:color w:val="000000" w:themeColor="text1"/>
          <w:kern w:val="0"/>
          <w:sz w:val="24"/>
          <w14:textFill>
            <w14:solidFill>
              <w14:schemeClr w14:val="tx1"/>
            </w14:solidFill>
          </w14:textFill>
        </w:rPr>
        <w:t>废止现行有关标准的建议</w:t>
      </w:r>
      <w:bookmarkEnd w:id="30"/>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自本标准实施之日起废止GB </w:t>
      </w:r>
      <w:r>
        <w:rPr>
          <w:color w:val="000000" w:themeColor="text1"/>
          <w14:textFill>
            <w14:solidFill>
              <w14:schemeClr w14:val="tx1"/>
            </w14:solidFill>
          </w14:textFill>
        </w:rPr>
        <w:t>14167-2013</w:t>
      </w:r>
      <w:r>
        <w:rPr>
          <w:rFonts w:hint="eastAsia"/>
          <w:color w:val="000000" w:themeColor="text1"/>
          <w14:textFill>
            <w14:solidFill>
              <w14:schemeClr w14:val="tx1"/>
            </w14:solidFill>
          </w14:textFill>
        </w:rPr>
        <w:t>。</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31" w:name="_Toc64898484"/>
      <w:r>
        <w:rPr>
          <w:rFonts w:hint="eastAsia" w:ascii="黑体" w:hAnsi="黑体" w:eastAsia="黑体" w:cs="宋体"/>
          <w:bCs/>
          <w:color w:val="000000" w:themeColor="text1"/>
          <w:kern w:val="0"/>
          <w:sz w:val="24"/>
          <w14:textFill>
            <w14:solidFill>
              <w14:schemeClr w14:val="tx1"/>
            </w14:solidFill>
          </w14:textFill>
        </w:rPr>
        <w:t>涉及专利的有关说明</w:t>
      </w:r>
      <w:bookmarkEnd w:id="31"/>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本标准不涉及专利。</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32" w:name="_Toc64898485"/>
      <w:r>
        <w:rPr>
          <w:rFonts w:hint="eastAsia" w:ascii="黑体" w:hAnsi="黑体" w:eastAsia="黑体" w:cs="宋体"/>
          <w:bCs/>
          <w:color w:val="000000" w:themeColor="text1"/>
          <w:kern w:val="0"/>
          <w:sz w:val="24"/>
          <w14:textFill>
            <w14:solidFill>
              <w14:schemeClr w14:val="tx1"/>
            </w14:solidFill>
          </w14:textFill>
        </w:rPr>
        <w:t>强制性国家标准所涉及的产品、过程或者服务目录</w:t>
      </w:r>
      <w:bookmarkEnd w:id="32"/>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GB/T 15089中规定的M和N类车辆。</w:t>
      </w:r>
    </w:p>
    <w:p>
      <w:pPr>
        <w:numPr>
          <w:ilvl w:val="0"/>
          <w:numId w:val="1"/>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33" w:name="_Toc64898486"/>
      <w:r>
        <w:rPr>
          <w:rFonts w:hint="eastAsia" w:ascii="黑体" w:hAnsi="黑体" w:eastAsia="黑体" w:cs="宋体"/>
          <w:bCs/>
          <w:color w:val="000000" w:themeColor="text1"/>
          <w:kern w:val="0"/>
          <w:sz w:val="24"/>
          <w14:textFill>
            <w14:solidFill>
              <w14:schemeClr w14:val="tx1"/>
            </w14:solidFill>
          </w14:textFill>
        </w:rPr>
        <w:t>其他应当予以说明的事项</w:t>
      </w:r>
      <w:bookmarkEnd w:id="19"/>
      <w:bookmarkEnd w:id="33"/>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p>
      <w:pPr>
        <w:pStyle w:val="16"/>
        <w:spacing w:line="400" w:lineRule="exact"/>
        <w:ind w:left="900" w:firstLine="0" w:firstLineChars="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全国</w:t>
      </w:r>
      <w:r>
        <w:rPr>
          <w:color w:val="000000" w:themeColor="text1"/>
          <w14:textFill>
            <w14:solidFill>
              <w14:schemeClr w14:val="tx1"/>
            </w14:solidFill>
          </w14:textFill>
        </w:rPr>
        <w:t>汽车标准化技术委员会车身分技术委员会</w:t>
      </w:r>
    </w:p>
    <w:p>
      <w:pPr>
        <w:pStyle w:val="16"/>
        <w:spacing w:line="400" w:lineRule="exact"/>
        <w:ind w:left="900" w:right="84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日</w:t>
      </w:r>
    </w:p>
    <w:sectPr>
      <w:headerReference r:id="rId6" w:type="first"/>
      <w:footerReference r:id="rId8" w:type="first"/>
      <w:headerReference r:id="rId5" w:type="default"/>
      <w:footerReference r:id="rId7" w:type="default"/>
      <w:pgSz w:w="11906" w:h="16838"/>
      <w:pgMar w:top="1440" w:right="1800" w:bottom="1440" w:left="1800" w:header="851" w:footer="992" w:gutter="0"/>
      <w:pgNumType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4266888"/>
      <w:docPartObj>
        <w:docPartGallery w:val="autotext"/>
      </w:docPartObj>
    </w:sdtPr>
    <w:sdtContent>
      <w:p>
        <w:pPr>
          <w:pStyle w:val="4"/>
          <w:ind w:firstLine="360"/>
          <w:jc w:val="center"/>
        </w:pPr>
        <w:r>
          <w:fldChar w:fldCharType="begin"/>
        </w:r>
        <w:r>
          <w:instrText xml:space="preserve">PAGE   \* MERGEFORMAT</w:instrText>
        </w:r>
        <w:r>
          <w:fldChar w:fldCharType="separate"/>
        </w:r>
        <w:r>
          <w:rPr>
            <w:lang w:val="zh-CN"/>
          </w:rPr>
          <w:t>2</w:t>
        </w:r>
        <w:r>
          <w:fldChar w:fldCharType="end"/>
        </w:r>
      </w:p>
    </w:sdtContent>
  </w:sdt>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4259378"/>
      <w:docPartObj>
        <w:docPartGallery w:val="autotext"/>
      </w:docPartObj>
    </w:sdtPr>
    <w:sdtContent>
      <w:p>
        <w:pPr>
          <w:pStyle w:val="4"/>
          <w:ind w:firstLine="360"/>
          <w:jc w:val="center"/>
        </w:pPr>
        <w:r>
          <w:fldChar w:fldCharType="begin"/>
        </w:r>
        <w:r>
          <w:instrText xml:space="preserve">PAGE   \* MERGEFORMAT</w:instrText>
        </w:r>
        <w:r>
          <w:fldChar w:fldCharType="separate"/>
        </w:r>
        <w:r>
          <w:rPr>
            <w:lang w:val="zh-CN"/>
          </w:rPr>
          <w:t>1</w:t>
        </w:r>
        <w:r>
          <w:fldChar w:fldCharType="end"/>
        </w:r>
      </w:p>
    </w:sdtContent>
  </w:sdt>
  <w:p>
    <w:pPr>
      <w:pStyle w:val="4"/>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rFonts w:hint="eastAsia"/>
      </w:rPr>
      <w:t>《机动车乘员用安全带和约束系统安装固定点》（征求意见稿）编制说明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rFonts w:hint="eastAsia"/>
      </w:rPr>
      <w:t>《机动车乘员用安全带和约束系统安装固定点》（</w:t>
    </w:r>
    <w:r>
      <w:rPr>
        <w:rFonts w:hint="eastAsia"/>
        <w:lang w:val="en-US" w:eastAsia="zh-CN"/>
      </w:rPr>
      <w:t>征求意见稿</w:t>
    </w:r>
    <w:r>
      <w:rPr>
        <w:rFonts w:hint="eastAsia"/>
      </w:rPr>
      <w:t>）编制说明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C957A9"/>
    <w:multiLevelType w:val="multilevel"/>
    <w:tmpl w:val="28C957A9"/>
    <w:lvl w:ilvl="0" w:tentative="0">
      <w:start w:val="1"/>
      <w:numFmt w:val="japaneseCounting"/>
      <w:lvlText w:val="%1、"/>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845"/>
    <w:rsid w:val="00012234"/>
    <w:rsid w:val="0001748E"/>
    <w:rsid w:val="00020B58"/>
    <w:rsid w:val="00037775"/>
    <w:rsid w:val="00041048"/>
    <w:rsid w:val="00054DE8"/>
    <w:rsid w:val="0006257F"/>
    <w:rsid w:val="0007093B"/>
    <w:rsid w:val="000D0D05"/>
    <w:rsid w:val="000D6F31"/>
    <w:rsid w:val="000F35C8"/>
    <w:rsid w:val="00114B25"/>
    <w:rsid w:val="001235B5"/>
    <w:rsid w:val="001270C8"/>
    <w:rsid w:val="0013239D"/>
    <w:rsid w:val="00135AA7"/>
    <w:rsid w:val="0014551E"/>
    <w:rsid w:val="00167B0A"/>
    <w:rsid w:val="0017631D"/>
    <w:rsid w:val="0017659A"/>
    <w:rsid w:val="001861BC"/>
    <w:rsid w:val="001927EC"/>
    <w:rsid w:val="001A3352"/>
    <w:rsid w:val="001B378A"/>
    <w:rsid w:val="001C49D1"/>
    <w:rsid w:val="001F04BC"/>
    <w:rsid w:val="00201133"/>
    <w:rsid w:val="0021799F"/>
    <w:rsid w:val="00242421"/>
    <w:rsid w:val="00255B31"/>
    <w:rsid w:val="00260138"/>
    <w:rsid w:val="0027006A"/>
    <w:rsid w:val="00280CC2"/>
    <w:rsid w:val="002A65E3"/>
    <w:rsid w:val="002D0B81"/>
    <w:rsid w:val="002F2D31"/>
    <w:rsid w:val="00350E31"/>
    <w:rsid w:val="003533E3"/>
    <w:rsid w:val="00357307"/>
    <w:rsid w:val="00374A8E"/>
    <w:rsid w:val="0038380F"/>
    <w:rsid w:val="00384974"/>
    <w:rsid w:val="003A219D"/>
    <w:rsid w:val="003E63B2"/>
    <w:rsid w:val="00402F5C"/>
    <w:rsid w:val="004440EA"/>
    <w:rsid w:val="004550F0"/>
    <w:rsid w:val="004603C7"/>
    <w:rsid w:val="004653DA"/>
    <w:rsid w:val="00472021"/>
    <w:rsid w:val="00491213"/>
    <w:rsid w:val="00492B96"/>
    <w:rsid w:val="004C2DE6"/>
    <w:rsid w:val="004D43C6"/>
    <w:rsid w:val="004D5976"/>
    <w:rsid w:val="005158F2"/>
    <w:rsid w:val="00545951"/>
    <w:rsid w:val="0054773F"/>
    <w:rsid w:val="00552A94"/>
    <w:rsid w:val="00567EBD"/>
    <w:rsid w:val="00575AC2"/>
    <w:rsid w:val="0058004B"/>
    <w:rsid w:val="005B19DC"/>
    <w:rsid w:val="005B2BD0"/>
    <w:rsid w:val="005B50FA"/>
    <w:rsid w:val="005E5508"/>
    <w:rsid w:val="005E7802"/>
    <w:rsid w:val="0067120B"/>
    <w:rsid w:val="006801E3"/>
    <w:rsid w:val="0068575E"/>
    <w:rsid w:val="00687D73"/>
    <w:rsid w:val="006C15C3"/>
    <w:rsid w:val="006D5502"/>
    <w:rsid w:val="00705B04"/>
    <w:rsid w:val="007144A4"/>
    <w:rsid w:val="00776C0C"/>
    <w:rsid w:val="007C129F"/>
    <w:rsid w:val="007C1F78"/>
    <w:rsid w:val="007E16F0"/>
    <w:rsid w:val="008045A0"/>
    <w:rsid w:val="00814265"/>
    <w:rsid w:val="00820218"/>
    <w:rsid w:val="00821891"/>
    <w:rsid w:val="00841A6D"/>
    <w:rsid w:val="0088031A"/>
    <w:rsid w:val="0088577E"/>
    <w:rsid w:val="00892845"/>
    <w:rsid w:val="008C09FD"/>
    <w:rsid w:val="008E31C9"/>
    <w:rsid w:val="008E68DA"/>
    <w:rsid w:val="009273A8"/>
    <w:rsid w:val="00945B03"/>
    <w:rsid w:val="00950EA6"/>
    <w:rsid w:val="009522EB"/>
    <w:rsid w:val="009535F8"/>
    <w:rsid w:val="0095555A"/>
    <w:rsid w:val="009656D2"/>
    <w:rsid w:val="00980D98"/>
    <w:rsid w:val="00992AC6"/>
    <w:rsid w:val="009D4CD2"/>
    <w:rsid w:val="009F2029"/>
    <w:rsid w:val="00A02022"/>
    <w:rsid w:val="00A16F92"/>
    <w:rsid w:val="00A2748A"/>
    <w:rsid w:val="00A27A11"/>
    <w:rsid w:val="00A30338"/>
    <w:rsid w:val="00A9754E"/>
    <w:rsid w:val="00AA035A"/>
    <w:rsid w:val="00AC4639"/>
    <w:rsid w:val="00B1292A"/>
    <w:rsid w:val="00B12F76"/>
    <w:rsid w:val="00B550BD"/>
    <w:rsid w:val="00B82261"/>
    <w:rsid w:val="00B86B04"/>
    <w:rsid w:val="00B93CF6"/>
    <w:rsid w:val="00BB32B5"/>
    <w:rsid w:val="00BB727F"/>
    <w:rsid w:val="00C130E9"/>
    <w:rsid w:val="00C75369"/>
    <w:rsid w:val="00C91560"/>
    <w:rsid w:val="00CB5FE6"/>
    <w:rsid w:val="00CD16C2"/>
    <w:rsid w:val="00CE42B9"/>
    <w:rsid w:val="00D01BFE"/>
    <w:rsid w:val="00D20184"/>
    <w:rsid w:val="00D2752D"/>
    <w:rsid w:val="00D317E0"/>
    <w:rsid w:val="00D6116E"/>
    <w:rsid w:val="00D84D05"/>
    <w:rsid w:val="00DB333D"/>
    <w:rsid w:val="00DB7620"/>
    <w:rsid w:val="00DD6807"/>
    <w:rsid w:val="00DE1CC7"/>
    <w:rsid w:val="00E01A33"/>
    <w:rsid w:val="00E42B97"/>
    <w:rsid w:val="00E45F30"/>
    <w:rsid w:val="00E544A7"/>
    <w:rsid w:val="00E67739"/>
    <w:rsid w:val="00EB0994"/>
    <w:rsid w:val="00EB3970"/>
    <w:rsid w:val="00EB70F3"/>
    <w:rsid w:val="00EF600F"/>
    <w:rsid w:val="00F33B7C"/>
    <w:rsid w:val="00F6014B"/>
    <w:rsid w:val="00F67663"/>
    <w:rsid w:val="00FB180E"/>
    <w:rsid w:val="00FC15D0"/>
    <w:rsid w:val="00FD46CA"/>
    <w:rsid w:val="00FF0F7A"/>
    <w:rsid w:val="1D4321B6"/>
    <w:rsid w:val="24281145"/>
    <w:rsid w:val="31FC67C3"/>
    <w:rsid w:val="358469F6"/>
    <w:rsid w:val="3B892F92"/>
    <w:rsid w:val="75DA1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0"/>
    <w:semiHidden/>
    <w:unhideWhenUsed/>
    <w:qFormat/>
    <w:uiPriority w:val="99"/>
    <w:pPr>
      <w:spacing w:line="240" w:lineRule="auto"/>
    </w:pPr>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14">
    <w:name w:val="标题 1 Char"/>
    <w:basedOn w:val="9"/>
    <w:link w:val="2"/>
    <w:qFormat/>
    <w:uiPriority w:val="9"/>
    <w:rPr>
      <w:rFonts w:ascii="Times New Roman" w:hAnsi="Times New Roman" w:eastAsia="宋体" w:cs="Times New Roman"/>
      <w:b/>
      <w:bCs/>
      <w:kern w:val="44"/>
      <w:sz w:val="44"/>
      <w:szCs w:val="44"/>
    </w:rPr>
  </w:style>
  <w:style w:type="paragraph" w:customStyle="1" w:styleId="15">
    <w:name w:val="TOC Heading"/>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16">
    <w:name w:val="List Paragraph"/>
    <w:basedOn w:val="1"/>
    <w:qFormat/>
    <w:uiPriority w:val="34"/>
    <w:pPr>
      <w:ind w:firstLine="420"/>
    </w:pPr>
  </w:style>
  <w:style w:type="paragraph" w:customStyle="1" w:styleId="17">
    <w:name w:val="标准文件_文件名称"/>
    <w:basedOn w:val="1"/>
    <w:next w:val="1"/>
    <w:qFormat/>
    <w:uiPriority w:val="0"/>
    <w:pPr>
      <w:framePr w:w="9639" w:h="6976" w:hRule="exact" w:wrap="auto" w:vAnchor="page" w:hAnchor="page" w:y="6408"/>
      <w:widowControl/>
      <w:spacing w:line="700" w:lineRule="exact"/>
      <w:ind w:firstLine="0" w:firstLineChars="0"/>
      <w:jc w:val="center"/>
    </w:pPr>
    <w:rPr>
      <w:rFonts w:ascii="黑体" w:hAnsi="黑体" w:eastAsia="黑体"/>
      <w:bCs/>
      <w:kern w:val="0"/>
      <w:sz w:val="52"/>
      <w:szCs w:val="20"/>
    </w:rPr>
  </w:style>
  <w:style w:type="paragraph" w:customStyle="1" w:styleId="18">
    <w:name w:val="编制说明正文"/>
    <w:basedOn w:val="1"/>
    <w:link w:val="19"/>
    <w:qFormat/>
    <w:uiPriority w:val="0"/>
    <w:pPr>
      <w:shd w:val="clear" w:color="auto" w:fill="FFFFFF"/>
      <w:spacing w:line="400" w:lineRule="exact"/>
      <w:ind w:firstLine="420"/>
    </w:pPr>
    <w:rPr>
      <w:rFonts w:cs="Arial"/>
      <w:szCs w:val="21"/>
    </w:rPr>
  </w:style>
  <w:style w:type="character" w:customStyle="1" w:styleId="19">
    <w:name w:val="编制说明正文 字符"/>
    <w:basedOn w:val="9"/>
    <w:link w:val="18"/>
    <w:qFormat/>
    <w:uiPriority w:val="0"/>
    <w:rPr>
      <w:rFonts w:ascii="Times New Roman" w:hAnsi="Times New Roman" w:eastAsia="宋体" w:cs="Arial"/>
      <w:szCs w:val="21"/>
      <w:shd w:val="clear" w:color="auto" w:fill="FFFFFF"/>
    </w:rPr>
  </w:style>
  <w:style w:type="character" w:customStyle="1" w:styleId="20">
    <w:name w:val="批注框文本 Char"/>
    <w:basedOn w:val="9"/>
    <w:link w:val="3"/>
    <w:semiHidden/>
    <w:qFormat/>
    <w:uiPriority w:val="99"/>
    <w:rPr>
      <w:rFonts w:ascii="Times New Roman" w:hAnsi="Times New Roman" w:eastAsia="宋体" w:cs="Times New Roman"/>
      <w:sz w:val="18"/>
      <w:szCs w:val="18"/>
    </w:rPr>
  </w:style>
  <w:style w:type="paragraph" w:customStyle="1" w:styleId="21">
    <w:name w:val="标准文件_段"/>
    <w:link w:val="22"/>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character" w:customStyle="1" w:styleId="22">
    <w:name w:val="标准文件_段 Char"/>
    <w:link w:val="21"/>
    <w:qFormat/>
    <w:uiPriority w:val="0"/>
    <w:rPr>
      <w:rFonts w:ascii="宋体" w:hAnsi="Times New Roman" w:eastAsia="宋体" w:cs="Times New Roman"/>
      <w:kern w:val="0"/>
      <w:szCs w:val="20"/>
    </w:rPr>
  </w:style>
  <w:style w:type="paragraph" w:customStyle="1" w:styleId="23">
    <w:name w:val="段"/>
    <w:link w:val="24"/>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24">
    <w:name w:val="段 Char"/>
    <w:link w:val="23"/>
    <w:qFormat/>
    <w:uiPriority w:val="0"/>
    <w:rPr>
      <w:rFonts w:ascii="宋体" w:hAnsi="Times New Roman" w:eastAsia="宋体" w:cs="Times New Roman"/>
      <w:kern w:val="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44EF7E-2887-4375-9A32-9594F6254A80}">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1003</Words>
  <Characters>5719</Characters>
  <Lines>47</Lines>
  <Paragraphs>13</Paragraphs>
  <TotalTime>1</TotalTime>
  <ScaleCrop>false</ScaleCrop>
  <LinksUpToDate>false</LinksUpToDate>
  <CharactersWithSpaces>6709</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2022-03-04T08:37:00Z</dcterms:created>
  <dc:creator>李云伟</dc:creator>
  <cp:lastModifiedBy>李云伟</cp:lastModifiedBy>
  <cp:lastPrinted>2022-04-01T01:17:00Z</cp:lastPrinted>
  <dcterms:modified xsi:type="dcterms:W3CDTF">2022-04-29T10:05:16Z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