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43.020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w:t>
            </w:r>
            <w:r>
              <w:rPr>
                <w:rFonts w:ascii="黑体" w:hAnsi="黑体" w:eastAsia="黑体"/>
                <w:sz w:val="21"/>
                <w:szCs w:val="21"/>
              </w:rPr>
              <w:t xml:space="preserve"> </w:t>
            </w:r>
            <w:r>
              <w:rPr>
                <w:rFonts w:hint="eastAsia" w:ascii="黑体" w:hAnsi="黑体" w:eastAsia="黑体"/>
                <w:sz w:val="21"/>
                <w:szCs w:val="21"/>
              </w:rPr>
              <w:t>40</w:t>
            </w:r>
            <w:r>
              <w:rPr>
                <w:rFonts w:ascii="黑体" w:hAnsi="黑体" w:eastAsia="黑体"/>
                <w:sz w:val="21"/>
                <w:szCs w:val="21"/>
              </w:rPr>
              <w:fldChar w:fldCharType="end"/>
            </w:r>
            <w:bookmarkEnd w:id="1"/>
          </w:p>
        </w:tc>
      </w:tr>
    </w:tbl>
    <w:p>
      <w:pPr>
        <w:pStyle w:val="50"/>
        <w:framePr w:w="9639" w:h="624" w:hRule="exact" w:hSpace="181" w:vSpace="181" w:wrap="around" w:hAnchor="page" w:x="1305" w:y="2269"/>
      </w:pPr>
      <w:bookmarkStart w:id="2" w:name="_Hlk26473981"/>
      <w:r>
        <w:rPr>
          <w:rFonts w:hint="eastAsia"/>
        </w:rPr>
        <w:t>中华人民共和国国家标准</w:t>
      </w:r>
    </w:p>
    <w:bookmarkEnd w:id="2"/>
    <w:p>
      <w:pPr>
        <w:pStyle w:val="195"/>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rFonts w:hint="eastAsia"/>
        </w:rPr>
        <w:t>30510</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xml:space="preserve">代替 GB </w:t>
      </w:r>
      <w:r>
        <w:rPr>
          <w:rFonts w:hint="eastAsia" w:hAnsi="黑体"/>
        </w:rPr>
        <w:t>30510—2018</w:t>
      </w:r>
      <w:r>
        <w:rPr>
          <w:rFonts w:hAnsi="黑体"/>
        </w:rPr>
        <w:fldChar w:fldCharType="end"/>
      </w:r>
      <w:bookmarkEnd w:id="6"/>
    </w:p>
    <w:p>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重型商用车辆燃料消耗量限值</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xml:space="preserve">Fuel consumption limits for heavy-duty commercial vehicles </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（本草案完成时间：2022/5）</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pPr>
        <w:pStyle w:val="91"/>
        <w:spacing w:after="468"/>
      </w:pPr>
      <w:bookmarkStart w:id="19" w:name="BookMark1"/>
      <w:bookmarkStart w:id="20" w:name="_Toc90888474"/>
      <w:bookmarkStart w:id="21" w:name="_Toc90888449"/>
      <w:bookmarkStart w:id="22" w:name="_Toc90904724"/>
      <w:r>
        <w:rPr>
          <w:rFonts w:hint="eastAsia"/>
          <w:spacing w:val="320"/>
        </w:rPr>
        <w:t>目</w:t>
      </w:r>
      <w:r>
        <w:rPr>
          <w:rFonts w:hint="eastAsia"/>
        </w:rPr>
        <w:t>次</w:t>
      </w:r>
    </w:p>
    <w:p>
      <w:pPr>
        <w:pStyle w:val="19"/>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"_Toc100237914" </w:instrText>
      </w:r>
      <w:r>
        <w:fldChar w:fldCharType="separate"/>
      </w:r>
      <w:r>
        <w:rPr>
          <w:rStyle w:val="32"/>
          <w:spacing w:val="320"/>
        </w:rPr>
        <w:t>前</w:t>
      </w:r>
      <w:r>
        <w:rPr>
          <w:rStyle w:val="32"/>
        </w:rPr>
        <w:t>言</w:t>
      </w:r>
      <w:r>
        <w:tab/>
      </w:r>
      <w:r>
        <w:fldChar w:fldCharType="begin"/>
      </w:r>
      <w:r>
        <w:instrText xml:space="preserve"> PAGEREF _Toc100237914 \h </w:instrText>
      </w:r>
      <w:r>
        <w:fldChar w:fldCharType="separate"/>
      </w:r>
      <w:r>
        <w:t>II</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"_Toc100237915" </w:instrText>
      </w:r>
      <w:r>
        <w:fldChar w:fldCharType="separate"/>
      </w:r>
      <w:r>
        <w:rPr>
          <w:rStyle w:val="32"/>
        </w:rPr>
        <w:t>1 范围</w:t>
      </w:r>
      <w:r>
        <w:tab/>
      </w:r>
      <w:r>
        <w:fldChar w:fldCharType="begin"/>
      </w:r>
      <w:r>
        <w:instrText xml:space="preserve"> PAGEREF _Toc100237915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"_Toc100237916" </w:instrText>
      </w:r>
      <w:r>
        <w:fldChar w:fldCharType="separate"/>
      </w:r>
      <w:r>
        <w:rPr>
          <w:rStyle w:val="32"/>
        </w:rPr>
        <w:t>2 规范性引用文件</w:t>
      </w:r>
      <w:r>
        <w:tab/>
      </w:r>
      <w:r>
        <w:fldChar w:fldCharType="begin"/>
      </w:r>
      <w:r>
        <w:instrText xml:space="preserve"> PAGEREF _Toc100237916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"_Toc100237917" </w:instrText>
      </w:r>
      <w:r>
        <w:fldChar w:fldCharType="separate"/>
      </w:r>
      <w:r>
        <w:rPr>
          <w:rStyle w:val="32"/>
        </w:rPr>
        <w:t>3 术语和定义</w:t>
      </w:r>
      <w:r>
        <w:tab/>
      </w:r>
      <w:r>
        <w:fldChar w:fldCharType="begin"/>
      </w:r>
      <w:r>
        <w:instrText xml:space="preserve"> PAGEREF _Toc100237917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"_Toc100237918" </w:instrText>
      </w:r>
      <w:r>
        <w:fldChar w:fldCharType="separate"/>
      </w:r>
      <w:r>
        <w:rPr>
          <w:rStyle w:val="32"/>
        </w:rPr>
        <w:t>4 总体要求</w:t>
      </w:r>
      <w:r>
        <w:tab/>
      </w:r>
      <w:r>
        <w:fldChar w:fldCharType="begin"/>
      </w:r>
      <w:r>
        <w:instrText xml:space="preserve"> PAGEREF _Toc100237918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"_Toc100237919" </w:instrText>
      </w:r>
      <w:r>
        <w:fldChar w:fldCharType="separate"/>
      </w:r>
      <w:r>
        <w:rPr>
          <w:rStyle w:val="32"/>
        </w:rPr>
        <w:t>5 燃料消耗量限值</w:t>
      </w:r>
      <w:r>
        <w:tab/>
      </w:r>
      <w:r>
        <w:fldChar w:fldCharType="begin"/>
      </w:r>
      <w:r>
        <w:instrText xml:space="preserve"> PAGEREF _Toc100237919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"_Toc100237920" </w:instrText>
      </w:r>
      <w:r>
        <w:fldChar w:fldCharType="separate"/>
      </w:r>
      <w:r>
        <w:rPr>
          <w:rStyle w:val="32"/>
        </w:rPr>
        <w:t>6 生产一致性</w:t>
      </w:r>
      <w:r>
        <w:tab/>
      </w:r>
      <w:r>
        <w:fldChar w:fldCharType="begin"/>
      </w:r>
      <w:r>
        <w:instrText xml:space="preserve"> PAGEREF _Toc100237920 \h </w:instrText>
      </w:r>
      <w:r>
        <w:fldChar w:fldCharType="separate"/>
      </w:r>
      <w:r>
        <w:t>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"_Toc100237921" </w:instrText>
      </w:r>
      <w:r>
        <w:fldChar w:fldCharType="separate"/>
      </w:r>
      <w:r>
        <w:rPr>
          <w:rStyle w:val="32"/>
        </w:rPr>
        <w:t>7 认证扩展</w:t>
      </w:r>
      <w:r>
        <w:tab/>
      </w:r>
      <w:r>
        <w:fldChar w:fldCharType="begin"/>
      </w:r>
      <w:r>
        <w:instrText xml:space="preserve"> PAGEREF _Toc100237921 \h </w:instrText>
      </w:r>
      <w:r>
        <w:fldChar w:fldCharType="separate"/>
      </w:r>
      <w:r>
        <w:t>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"_Toc100237922" </w:instrText>
      </w:r>
      <w:r>
        <w:fldChar w:fldCharType="separate"/>
      </w:r>
      <w:r>
        <w:rPr>
          <w:rStyle w:val="32"/>
        </w:rPr>
        <w:t>8 实施日期</w:t>
      </w:r>
      <w:r>
        <w:tab/>
      </w:r>
      <w:r>
        <w:fldChar w:fldCharType="begin"/>
      </w:r>
      <w:r>
        <w:instrText xml:space="preserve"> PAGEREF _Toc100237922 \h </w:instrText>
      </w:r>
      <w:r>
        <w:fldChar w:fldCharType="separate"/>
      </w:r>
      <w:r>
        <w:t>5</w:t>
      </w:r>
      <w:r>
        <w:fldChar w:fldCharType="end"/>
      </w:r>
      <w:r>
        <w:fldChar w:fldCharType="end"/>
      </w:r>
    </w:p>
    <w:p>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pPr>
        <w:pStyle w:val="89"/>
        <w:spacing w:after="468"/>
      </w:pPr>
      <w:bookmarkStart w:id="23" w:name="_Toc100237914"/>
      <w:bookmarkStart w:id="24" w:name="BookMark2"/>
      <w:r>
        <w:rPr>
          <w:spacing w:val="320"/>
        </w:rPr>
        <w:t>前</w:t>
      </w:r>
      <w:r>
        <w:t>言</w:t>
      </w:r>
      <w:bookmarkEnd w:id="20"/>
      <w:bookmarkEnd w:id="21"/>
      <w:bookmarkEnd w:id="22"/>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cs="宋体"/>
        </w:rPr>
        <w:t>本文件代替GB 30510—201</w:t>
      </w:r>
      <w:r>
        <w:rPr>
          <w:rFonts w:cs="宋体"/>
        </w:rPr>
        <w:t>8</w:t>
      </w:r>
      <w:r>
        <w:rPr>
          <w:rFonts w:hint="eastAsia" w:cs="宋体"/>
        </w:rPr>
        <w:t>《重型商用车辆燃料消耗量限值》，与GB 30510—201</w:t>
      </w:r>
      <w:r>
        <w:rPr>
          <w:rFonts w:cs="宋体"/>
        </w:rPr>
        <w:t>8</w:t>
      </w:r>
      <w:r>
        <w:rPr>
          <w:rFonts w:hint="eastAsia" w:cs="宋体"/>
        </w:rPr>
        <w:t>相比，除结构调整和编辑性改动外，主要变化如下：</w:t>
      </w:r>
    </w:p>
    <w:p>
      <w:pPr>
        <w:pStyle w:val="174"/>
      </w:pPr>
      <w:r>
        <w:rPr>
          <w:rFonts w:hint="eastAsia"/>
        </w:rPr>
        <w:t>更改了车型综合燃料消耗量测定方法（见第4.</w:t>
      </w:r>
      <w:r>
        <w:t>1</w:t>
      </w:r>
      <w:r>
        <w:rPr>
          <w:rFonts w:hint="eastAsia"/>
        </w:rPr>
        <w:t>，201</w:t>
      </w:r>
      <w:r>
        <w:t>8</w:t>
      </w:r>
      <w:r>
        <w:rPr>
          <w:rFonts w:hint="eastAsia"/>
        </w:rPr>
        <w:t>年版的第4章）；</w:t>
      </w:r>
    </w:p>
    <w:p>
      <w:pPr>
        <w:pStyle w:val="174"/>
      </w:pPr>
      <w:r>
        <w:rPr>
          <w:rFonts w:hint="eastAsia" w:hAnsi="宋体"/>
        </w:rPr>
        <w:t>增加了专用运输车辆燃料消耗量限值适用要求（见4.2）；</w:t>
      </w:r>
    </w:p>
    <w:p>
      <w:pPr>
        <w:pStyle w:val="174"/>
      </w:pPr>
      <w:r>
        <w:rPr>
          <w:rFonts w:hint="eastAsia" w:hAnsi="宋体"/>
        </w:rPr>
        <w:t>更改了车型燃料消耗量限值（见5.1～5</w:t>
      </w:r>
      <w:r>
        <w:rPr>
          <w:rFonts w:hAnsi="宋体"/>
        </w:rPr>
        <w:t>.5</w:t>
      </w:r>
      <w:r>
        <w:rPr>
          <w:rFonts w:hint="eastAsia" w:hAnsi="宋体"/>
        </w:rPr>
        <w:t>，2018年版的第5章）；</w:t>
      </w:r>
    </w:p>
    <w:p>
      <w:pPr>
        <w:pStyle w:val="174"/>
      </w:pPr>
      <w:r>
        <w:rPr>
          <w:rFonts w:hint="eastAsia"/>
        </w:rPr>
        <w:t>增加了与限值对应的CO</w:t>
      </w:r>
      <w:r>
        <w:rPr>
          <w:rFonts w:hint="eastAsia"/>
          <w:vertAlign w:val="subscript"/>
        </w:rPr>
        <w:t>2</w:t>
      </w:r>
      <w:r>
        <w:rPr>
          <w:rFonts w:hint="eastAsia"/>
        </w:rPr>
        <w:t>排放量参考值的计算方法（见5.6）；</w:t>
      </w:r>
    </w:p>
    <w:p>
      <w:pPr>
        <w:pStyle w:val="174"/>
      </w:pPr>
      <w:r>
        <w:rPr>
          <w:rFonts w:hint="eastAsia"/>
        </w:rPr>
        <w:t>更改了生产一致性要求（见第6章，201</w:t>
      </w:r>
      <w:r>
        <w:t>8</w:t>
      </w:r>
      <w:r>
        <w:rPr>
          <w:rFonts w:hint="eastAsia"/>
        </w:rPr>
        <w:t>年版的第6章）；</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增加了认证扩展要求（见第7章）。</w:t>
      </w:r>
    </w:p>
    <w:p>
      <w:pPr>
        <w:pStyle w:val="56"/>
        <w:ind w:firstLine="420"/>
      </w:pPr>
      <w:r>
        <w:rPr>
          <w:rFonts w:hint="eastAsia"/>
        </w:rPr>
        <w:t>本文件由中华人民共和国工业和信息化部提出并归口。</w:t>
      </w:r>
    </w:p>
    <w:p>
      <w:pPr>
        <w:pStyle w:val="229"/>
        <w:rPr>
          <w:rFonts w:hAnsi="宋体"/>
        </w:rPr>
      </w:pPr>
      <w:r>
        <w:rPr>
          <w:rFonts w:hint="eastAsia" w:hAnsi="宋体"/>
        </w:rPr>
        <w:t>本文件及其所代替文件的历次版本发布情况为：</w:t>
      </w:r>
    </w:p>
    <w:p>
      <w:pPr>
        <w:pStyle w:val="132"/>
      </w:pPr>
      <w:r>
        <w:rPr>
          <w:rFonts w:hint="eastAsia"/>
        </w:rPr>
        <w:t>2014年首次发布为GB 30510—2014，2018年第一次修订；</w:t>
      </w:r>
    </w:p>
    <w:p>
      <w:pPr>
        <w:pStyle w:val="132"/>
      </w:pPr>
      <w:r>
        <w:rPr>
          <w:rFonts w:hint="eastAsia"/>
        </w:rPr>
        <w:t>本次为第二次修订。</w:t>
      </w:r>
    </w:p>
    <w:p>
      <w:pPr>
        <w:pStyle w:val="56"/>
        <w:ind w:firstLine="0" w:firstLineChars="0"/>
        <w:sectPr>
          <w:pgSz w:w="11906" w:h="16838"/>
          <w:pgMar w:top="2410"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F31994EDF114438C94F39EBDB63DC8AC"/>
        </w:placeholder>
      </w:sdtPr>
      <w:sdtContent>
        <w:p>
          <w:pPr>
            <w:pStyle w:val="177"/>
            <w:spacing w:before="3" w:beforeLines="1" w:after="686" w:afterLines="220"/>
          </w:pPr>
          <w:bookmarkStart w:id="26" w:name="NEW_STAND_NAME"/>
          <w:r>
            <w:rPr>
              <w:rFonts w:hint="eastAsia"/>
            </w:rPr>
            <w:t>重型商用车辆燃料消耗量限值</w:t>
          </w:r>
        </w:p>
      </w:sdtContent>
    </w:sdt>
    <w:bookmarkEnd w:id="26"/>
    <w:p>
      <w:pPr>
        <w:pStyle w:val="104"/>
        <w:spacing w:before="312" w:after="312"/>
      </w:pPr>
      <w:bookmarkStart w:id="27" w:name="_Toc26986771"/>
      <w:bookmarkStart w:id="28" w:name="_Toc17233333"/>
      <w:bookmarkStart w:id="29" w:name="_Toc24884218"/>
      <w:bookmarkStart w:id="30" w:name="_Toc17233325"/>
      <w:bookmarkStart w:id="31" w:name="_Toc90888475"/>
      <w:bookmarkStart w:id="32" w:name="_Toc26648465"/>
      <w:bookmarkStart w:id="33" w:name="_Toc26986530"/>
      <w:bookmarkStart w:id="34" w:name="_Toc26718930"/>
      <w:bookmarkStart w:id="35" w:name="_Toc100237915"/>
      <w:bookmarkStart w:id="36" w:name="_Toc24884211"/>
      <w:bookmarkStart w:id="37" w:name="_Toc90904725"/>
      <w:bookmarkStart w:id="38" w:name="_Toc90888450"/>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pPr>
        <w:pStyle w:val="56"/>
        <w:ind w:firstLine="420"/>
        <w:rPr>
          <w:color w:val="000000" w:themeColor="text1"/>
          <w14:textFill>
            <w14:solidFill>
              <w14:schemeClr w14:val="tx1"/>
            </w14:solidFill>
          </w14:textFill>
        </w:rPr>
      </w:pPr>
      <w:bookmarkStart w:id="39" w:name="_Toc26648466"/>
      <w:bookmarkStart w:id="40" w:name="_Toc17233334"/>
      <w:bookmarkStart w:id="41" w:name="_Toc24884219"/>
      <w:bookmarkStart w:id="42" w:name="_Toc24884212"/>
      <w:bookmarkStart w:id="43" w:name="_Toc17233326"/>
      <w:r>
        <w:rPr>
          <w:rFonts w:hint="eastAsia"/>
        </w:rPr>
        <w:t>本文件规定了重型商用车辆燃料消耗量限值、</w:t>
      </w:r>
      <w:r>
        <w:rPr>
          <w:rFonts w:hint="eastAsia"/>
          <w:color w:val="000000" w:themeColor="text1"/>
          <w14:textFill>
            <w14:solidFill>
              <w14:schemeClr w14:val="tx1"/>
            </w14:solidFill>
          </w14:textFill>
        </w:rPr>
        <w:t>生产一致性、认证扩展和实施日期。</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本文件适用于能够燃用汽油或柴油燃料、最大设计总质量大于3 500kg的商用车辆，包括货车、半挂牵引车、客车、自卸汽车和城市客车。</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本文件不适用于专用作业汽车，包括厢式专用作业汽车、罐式专用作业汽车、专用自卸作业汽车、仓栅式专用作业汽车、起重举升专用作业汽车及特种结构专用作业汽车等。</w:t>
      </w:r>
    </w:p>
    <w:p>
      <w:pPr>
        <w:pStyle w:val="104"/>
        <w:spacing w:before="312" w:after="312"/>
        <w:rPr>
          <w:color w:val="000000" w:themeColor="text1"/>
          <w14:textFill>
            <w14:solidFill>
              <w14:schemeClr w14:val="tx1"/>
            </w14:solidFill>
          </w14:textFill>
        </w:rPr>
      </w:pPr>
      <w:bookmarkStart w:id="44" w:name="_Toc90904726"/>
      <w:bookmarkStart w:id="45" w:name="_Toc26718931"/>
      <w:bookmarkStart w:id="46" w:name="_Toc90888476"/>
      <w:bookmarkStart w:id="47" w:name="_Toc26986772"/>
      <w:bookmarkStart w:id="48" w:name="_Toc26986531"/>
      <w:bookmarkStart w:id="49" w:name="_Toc90888451"/>
      <w:bookmarkStart w:id="50" w:name="_Toc100237916"/>
      <w:r>
        <w:rPr>
          <w:rFonts w:hint="eastAsia"/>
          <w:color w:val="000000" w:themeColor="text1"/>
          <w14:textFill>
            <w14:solidFill>
              <w14:schemeClr w14:val="tx1"/>
            </w14:solidFill>
          </w14:textFill>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color w:val="000000" w:themeColor="text1"/>
          <w14:textFill>
            <w14:solidFill>
              <w14:schemeClr w14:val="tx1"/>
            </w14:solidFill>
          </w14:textFill>
        </w:rPr>
        <w:id w:val="715848253"/>
        <w:placeholder>
          <w:docPart w:val="DA5D68BDF4C840D7950627CB5C4B35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3730.1 汽车和挂车类型的术语和定义</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3730.2 道路车辆 质量 词汇和代码</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17350 专用汽车和专用挂车术语、代号和编制方法</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 xml:space="preserve">/T 19596 </w:t>
      </w:r>
      <w:r>
        <w:rPr>
          <w:rFonts w:hint="eastAsia"/>
          <w:color w:val="000000" w:themeColor="text1"/>
          <w14:textFill>
            <w14:solidFill>
              <w14:schemeClr w14:val="tx1"/>
            </w14:solidFill>
          </w14:textFill>
        </w:rPr>
        <w:t>电动汽车术语</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/T 19754</w:t>
      </w:r>
      <w:r>
        <w:rPr>
          <w:rFonts w:hint="eastAsia"/>
          <w:color w:val="000000" w:themeColor="text1"/>
          <w14:textFill>
            <w14:solidFill>
              <w14:schemeClr w14:val="tx1"/>
            </w14:solidFill>
          </w14:textFill>
        </w:rPr>
        <w:t>—2021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重型混合动力电动汽车能量消耗量试验方法</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27840—2021 重型商用车辆燃料消耗量测量方法</w:t>
      </w:r>
    </w:p>
    <w:p>
      <w:pPr>
        <w:pStyle w:val="104"/>
        <w:spacing w:before="312" w:after="312"/>
        <w:rPr>
          <w:color w:val="000000" w:themeColor="text1"/>
          <w14:textFill>
            <w14:solidFill>
              <w14:schemeClr w14:val="tx1"/>
            </w14:solidFill>
          </w14:textFill>
        </w:rPr>
      </w:pPr>
      <w:bookmarkStart w:id="51" w:name="_Toc90888477"/>
      <w:bookmarkStart w:id="52" w:name="_Toc90888452"/>
      <w:bookmarkStart w:id="53" w:name="_Toc100237917"/>
      <w:bookmarkStart w:id="54" w:name="_Toc90904727"/>
      <w:r>
        <w:rPr>
          <w:rFonts w:hint="eastAsia"/>
          <w:color w:val="000000" w:themeColor="text1"/>
          <w:szCs w:val="21"/>
          <w14:textFill>
            <w14:solidFill>
              <w14:schemeClr w14:val="tx1"/>
            </w14:solidFill>
          </w14:textFill>
        </w:rPr>
        <w:t>术语和定义</w:t>
      </w:r>
      <w:bookmarkEnd w:id="51"/>
      <w:bookmarkEnd w:id="52"/>
      <w:bookmarkEnd w:id="53"/>
      <w:bookmarkEnd w:id="54"/>
    </w:p>
    <w:sdt>
      <w:sdtPr>
        <w:rPr>
          <w:color w:val="000000" w:themeColor="text1"/>
          <w14:textFill>
            <w14:solidFill>
              <w14:schemeClr w14:val="tx1"/>
            </w14:solidFill>
          </w14:textFill>
        </w:rPr>
        <w:id w:val="-1909835108"/>
        <w:placeholder>
          <w:docPart w:val="DA5D68BDF4C840D7950627CB5C4B355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pPr>
            <w:pStyle w:val="56"/>
            <w:ind w:firstLine="420"/>
            <w:rPr>
              <w:color w:val="000000" w:themeColor="text1"/>
              <w14:textFill>
                <w14:solidFill>
                  <w14:schemeClr w14:val="tx1"/>
                </w14:solidFill>
              </w14:textFill>
            </w:rPr>
          </w:pPr>
          <w:bookmarkStart w:id="55" w:name="_Toc26986532"/>
          <w:bookmarkEnd w:id="55"/>
          <w:r>
            <w:rPr>
              <w:rFonts w:hint="eastAsia"/>
              <w:color w:val="000000" w:themeColor="text1"/>
              <w14:textFill>
                <w14:solidFill>
                  <w14:schemeClr w14:val="tx1"/>
                </w14:solidFill>
              </w14:textFill>
            </w:rPr>
            <w:t xml:space="preserve">GB/T 3730.1、GB/T 3730.2、GB/T 17350及GB/T </w:t>
          </w:r>
          <w:r>
            <w:rPr>
              <w:color w:val="000000" w:themeColor="text1"/>
              <w14:textFill>
                <w14:solidFill>
                  <w14:schemeClr w14:val="tx1"/>
                </w14:solidFill>
              </w14:textFill>
            </w:rPr>
            <w:t>19596界定的术语和定义适用于本文件。</w:t>
          </w:r>
        </w:p>
      </w:sdtContent>
    </w:sdt>
    <w:p>
      <w:pPr>
        <w:pStyle w:val="104"/>
        <w:spacing w:before="312" w:after="312"/>
        <w:rPr>
          <w:color w:val="000000" w:themeColor="text1"/>
          <w14:textFill>
            <w14:solidFill>
              <w14:schemeClr w14:val="tx1"/>
            </w14:solidFill>
          </w14:textFill>
        </w:rPr>
      </w:pPr>
      <w:bookmarkStart w:id="56" w:name="_Toc90904728"/>
      <w:bookmarkStart w:id="57" w:name="_Toc90888478"/>
      <w:bookmarkStart w:id="58" w:name="_Toc90888453"/>
      <w:bookmarkStart w:id="59" w:name="_Toc100237918"/>
      <w:r>
        <w:rPr>
          <w:rFonts w:hint="eastAsia"/>
          <w:color w:val="000000" w:themeColor="text1"/>
          <w14:textFill>
            <w14:solidFill>
              <w14:schemeClr w14:val="tx1"/>
            </w14:solidFill>
          </w14:textFill>
        </w:rPr>
        <w:t>总体要求</w:t>
      </w:r>
      <w:bookmarkEnd w:id="56"/>
      <w:bookmarkEnd w:id="57"/>
      <w:bookmarkEnd w:id="58"/>
      <w:bookmarkEnd w:id="59"/>
    </w:p>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汽油、柴油车辆依据GB/T 27840—2021测定车型的综合燃料消耗量，可外接充电及不可外接充电式混合动力车辆依据GB/T</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19754—2021测定车型的综合燃料消耗量。</w:t>
      </w:r>
    </w:p>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车型综合燃料消耗量不应超过第5章规定的相应燃料消耗量限值。混凝土搅拌运输车应符合自卸汽车燃料消耗量限值，其他专用运输车辆应符合货车燃料消耗量限值。</w:t>
      </w:r>
    </w:p>
    <w:p>
      <w:pPr>
        <w:pStyle w:val="104"/>
        <w:spacing w:before="312" w:after="312"/>
        <w:rPr>
          <w:color w:val="000000" w:themeColor="text1"/>
          <w14:textFill>
            <w14:solidFill>
              <w14:schemeClr w14:val="tx1"/>
            </w14:solidFill>
          </w14:textFill>
        </w:rPr>
      </w:pPr>
      <w:bookmarkStart w:id="60" w:name="_Toc90888454"/>
      <w:bookmarkStart w:id="61" w:name="_Toc90904729"/>
      <w:bookmarkStart w:id="62" w:name="_Toc100237919"/>
      <w:bookmarkStart w:id="63" w:name="_Toc90888479"/>
      <w:r>
        <w:rPr>
          <w:rFonts w:hint="eastAsia"/>
          <w:color w:val="000000" w:themeColor="text1"/>
          <w14:textFill>
            <w14:solidFill>
              <w14:schemeClr w14:val="tx1"/>
            </w14:solidFill>
          </w14:textFill>
        </w:rPr>
        <w:t>燃料消耗量限值</w:t>
      </w:r>
      <w:bookmarkEnd w:id="60"/>
      <w:bookmarkEnd w:id="61"/>
      <w:bookmarkEnd w:id="62"/>
      <w:bookmarkEnd w:id="63"/>
    </w:p>
    <w:p>
      <w:pPr>
        <w:pStyle w:val="105"/>
        <w:spacing w:before="156" w:after="156"/>
        <w:ind w:left="0"/>
        <w:rPr>
          <w:rFonts w:ascii="宋体" w:hAnsi="宋体" w:eastAsia="宋体"/>
          <w:color w:val="000000" w:themeColor="text1"/>
          <w14:textFill>
            <w14:solidFill>
              <w14:schemeClr w14:val="tx1"/>
            </w14:solidFill>
          </w14:textFill>
        </w:rPr>
      </w:pPr>
      <w:bookmarkStart w:id="64" w:name="_Toc90888455"/>
      <w:bookmarkStart w:id="65" w:name="_Toc90888480"/>
      <w:r>
        <w:rPr>
          <w:rFonts w:hint="eastAsia" w:ascii="宋体" w:hAnsi="宋体" w:eastAsia="宋体"/>
          <w:color w:val="000000" w:themeColor="text1"/>
          <w14:textFill>
            <w14:solidFill>
              <w14:schemeClr w14:val="tx1"/>
            </w14:solidFill>
          </w14:textFill>
        </w:rPr>
        <w:t>货车综合燃料消耗量限值见表1。</w:t>
      </w:r>
      <w:bookmarkEnd w:id="64"/>
      <w:bookmarkEnd w:id="65"/>
    </w:p>
    <w:p>
      <w:pPr>
        <w:pStyle w:val="56"/>
        <w:ind w:firstLine="420"/>
        <w:rPr>
          <w:color w:val="000000" w:themeColor="text1"/>
          <w14:textFill>
            <w14:solidFill>
              <w14:schemeClr w14:val="tx1"/>
            </w14:solidFill>
          </w14:textFill>
        </w:rPr>
      </w:pPr>
    </w:p>
    <w:p>
      <w:pPr>
        <w:pStyle w:val="56"/>
        <w:ind w:firstLine="420"/>
        <w:rPr>
          <w:color w:val="000000" w:themeColor="text1"/>
          <w14:textFill>
            <w14:solidFill>
              <w14:schemeClr w14:val="tx1"/>
            </w14:solidFill>
          </w14:textFill>
        </w:rPr>
      </w:pPr>
    </w:p>
    <w:p>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货车燃料消耗量限值</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GVW</w:t>
            </w:r>
            <w:r>
              <w:rPr>
                <w:rFonts w:hint="eastAsia" w:ascii="宋体" w:hAnsi="宋体"/>
                <w:color w:val="000000" w:themeColor="text1"/>
                <w:sz w:val="18"/>
                <w:szCs w:val="18"/>
                <w14:textFill>
                  <w14:solidFill>
                    <w14:schemeClr w14:val="tx1"/>
                  </w14:solidFill>
                </w14:textFill>
              </w:rPr>
              <w:t>）</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3 500＜GVW≤</w:t>
            </w: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w:t>
            </w:r>
          </w:p>
        </w:tc>
        <w:tc>
          <w:tcPr>
            <w:tcW w:w="4561" w:type="dxa"/>
            <w:tcBorders>
              <w:top w:val="single" w:color="auto" w:sz="8" w:space="0"/>
            </w:tcBorders>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10.6</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kern w:val="0"/>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500＜GVW≤5 500</w:t>
            </w:r>
          </w:p>
        </w:tc>
        <w:tc>
          <w:tcPr>
            <w:tcW w:w="4561" w:type="dxa"/>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11.0</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kern w:val="0"/>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5 500＜GVW≤</w:t>
            </w:r>
            <w:r>
              <w:rPr>
                <w:rFonts w:hint="eastAsia" w:ascii="宋体" w:hAnsi="宋体"/>
                <w:color w:val="000000" w:themeColor="text1"/>
                <w:kern w:val="0"/>
                <w:sz w:val="18"/>
                <w:szCs w:val="18"/>
                <w14:textFill>
                  <w14:solidFill>
                    <w14:schemeClr w14:val="tx1"/>
                  </w14:solidFill>
                </w14:textFill>
              </w:rPr>
              <w:t>7</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12.3</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kern w:val="0"/>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14.4</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kern w:val="0"/>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16.2</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kern w:val="0"/>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12 5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18.8</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kern w:val="0"/>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12 500＜GVW≤</w:t>
            </w:r>
            <w:r>
              <w:rPr>
                <w:rFonts w:hint="eastAsia" w:ascii="宋体" w:hAnsi="宋体"/>
                <w:color w:val="000000" w:themeColor="text1"/>
                <w:kern w:val="0"/>
                <w:sz w:val="18"/>
                <w:szCs w:val="18"/>
                <w14:textFill>
                  <w14:solidFill>
                    <w14:schemeClr w14:val="tx1"/>
                  </w14:solidFill>
                </w14:textFill>
              </w:rPr>
              <w:t>16</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21.2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20</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25</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25</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31</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31</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p>
        </w:tc>
        <w:tc>
          <w:tcPr>
            <w:tcW w:w="4561" w:type="dxa"/>
            <w:tcBorders>
              <w:bottom w:val="single" w:color="auto" w:sz="8" w:space="0"/>
            </w:tcBorders>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346" w:type="dxa"/>
            <w:gridSpan w:val="2"/>
            <w:tcBorders>
              <w:top w:val="single" w:color="auto" w:sz="8" w:space="0"/>
              <w:bottom w:val="single" w:color="auto" w:sz="8" w:space="0"/>
            </w:tcBorders>
            <w:shd w:val="clear" w:color="auto" w:fill="auto"/>
            <w:vAlign w:val="center"/>
          </w:tcPr>
          <w:p>
            <w:pPr>
              <w:pStyle w:val="231"/>
              <w:ind w:left="363" w:firstLine="0"/>
              <w:rPr>
                <w:rFonts w:hAnsi="宋体"/>
                <w:color w:val="000000" w:themeColor="text1"/>
                <w14:textFill>
                  <w14:solidFill>
                    <w14:schemeClr w14:val="tx1"/>
                  </w14:solidFill>
                </w14:textFill>
              </w:rPr>
            </w:pPr>
            <w:bookmarkStart w:id="66" w:name="_Toc90888456"/>
            <w:bookmarkStart w:id="67" w:name="_Toc90888481"/>
            <w:r>
              <w:rPr>
                <w:rFonts w:hint="eastAsia" w:hAnsi="宋体"/>
                <w:color w:val="000000" w:themeColor="text1"/>
                <w:vertAlign w:val="superscript"/>
                <w14:textFill>
                  <w14:solidFill>
                    <w14:schemeClr w14:val="tx1"/>
                  </w14:solidFill>
                </w14:textFill>
              </w:rPr>
              <w:t xml:space="preserve">a </w:t>
            </w:r>
            <w:r>
              <w:rPr>
                <w:rFonts w:hint="eastAsia" w:hAnsi="宋体"/>
                <w:color w:val="000000" w:themeColor="text1"/>
                <w14:textFill>
                  <w14:solidFill>
                    <w14:schemeClr w14:val="tx1"/>
                  </w14:solidFill>
                </w14:textFill>
              </w:rPr>
              <w:t xml:space="preserve"> 对于汽油车，其限值是表中相应限值乘以1.3，求得的数值圆整（四舍五入）至小数点后一位。</w:t>
            </w:r>
          </w:p>
        </w:tc>
      </w:tr>
    </w:tbl>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半挂牵引车综合燃料消耗量限值见表2。</w:t>
      </w:r>
      <w:bookmarkEnd w:id="66"/>
      <w:bookmarkEnd w:id="67"/>
    </w:p>
    <w:p>
      <w:pPr>
        <w:pStyle w:val="232"/>
        <w:numPr>
          <w:ilvl w:val="0"/>
          <w:numId w:val="16"/>
        </w:numPr>
        <w:tabs>
          <w:tab w:val="left" w:pos="360"/>
        </w:tabs>
        <w:rPr>
          <w:color w:val="000000" w:themeColor="text1"/>
          <w14:textFill>
            <w14:solidFill>
              <w14:schemeClr w14:val="tx1"/>
            </w14:solidFill>
          </w14:textFill>
        </w:rPr>
      </w:pPr>
      <w:r>
        <w:rPr>
          <w:rFonts w:hint="eastAsia"/>
          <w:color w:val="000000" w:themeColor="text1"/>
          <w14:textFill>
            <w14:solidFill>
              <w14:schemeClr w14:val="tx1"/>
            </w14:solidFill>
          </w14:textFill>
        </w:rPr>
        <w:t>半挂牵引车燃料消耗量限值</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GCW</w:t>
            </w:r>
            <w:r>
              <w:rPr>
                <w:rFonts w:hint="eastAsia" w:ascii="宋体" w:hAnsi="宋体"/>
                <w:color w:val="000000" w:themeColor="text1"/>
                <w:sz w:val="18"/>
                <w:szCs w:val="18"/>
                <w14:textFill>
                  <w14:solidFill>
                    <w14:schemeClr w14:val="tx1"/>
                  </w14:solidFill>
                </w14:textFill>
              </w:rPr>
              <w:t>）</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tcBorders>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ascii="宋体" w:hAnsi="宋体"/>
                <w:iCs/>
                <w:color w:val="000000" w:themeColor="text1"/>
                <w:kern w:val="0"/>
                <w:sz w:val="18"/>
                <w:szCs w:val="18"/>
                <w14:textFill>
                  <w14:solidFill>
                    <w14:schemeClr w14:val="tx1"/>
                  </w14:solidFill>
                </w14:textFill>
              </w:rPr>
              <w:t>GCW≤</w:t>
            </w:r>
            <w:r>
              <w:rPr>
                <w:rFonts w:hint="eastAsia" w:ascii="宋体" w:hAnsi="宋体"/>
                <w:iCs/>
                <w:color w:val="000000" w:themeColor="text1"/>
                <w:kern w:val="0"/>
                <w:sz w:val="18"/>
                <w:szCs w:val="18"/>
                <w14:textFill>
                  <w14:solidFill>
                    <w14:schemeClr w14:val="tx1"/>
                  </w14:solidFill>
                </w14:textFill>
              </w:rPr>
              <w:t xml:space="preserve">18 </w:t>
            </w:r>
            <w:r>
              <w:rPr>
                <w:rFonts w:ascii="宋体" w:hAnsi="宋体"/>
                <w:iCs/>
                <w:color w:val="000000" w:themeColor="text1"/>
                <w:kern w:val="0"/>
                <w:sz w:val="18"/>
                <w:szCs w:val="18"/>
                <w14:textFill>
                  <w14:solidFill>
                    <w14:schemeClr w14:val="tx1"/>
                  </w14:solidFill>
                </w14:textFill>
              </w:rPr>
              <w:t>000</w:t>
            </w:r>
          </w:p>
        </w:tc>
        <w:tc>
          <w:tcPr>
            <w:tcW w:w="4561" w:type="dxa"/>
            <w:tcBorders>
              <w:top w:val="single" w:color="auto" w:sz="8" w:space="0"/>
            </w:tcBorders>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24.3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18 </w:t>
            </w:r>
            <w:r>
              <w:rPr>
                <w:rFonts w:ascii="宋体" w:hAnsi="宋体"/>
                <w:iCs/>
                <w:color w:val="000000" w:themeColor="text1"/>
                <w:kern w:val="0"/>
                <w:sz w:val="18"/>
                <w:szCs w:val="18"/>
                <w14:textFill>
                  <w14:solidFill>
                    <w14:schemeClr w14:val="tx1"/>
                  </w14:solidFill>
                </w14:textFill>
              </w:rPr>
              <w:t>000＜GCW≤2</w:t>
            </w:r>
            <w:r>
              <w:rPr>
                <w:rFonts w:hint="eastAsia" w:ascii="宋体" w:hAnsi="宋体"/>
                <w:iCs/>
                <w:color w:val="000000" w:themeColor="text1"/>
                <w:kern w:val="0"/>
                <w:sz w:val="18"/>
                <w:szCs w:val="18"/>
                <w14:textFill>
                  <w14:solidFill>
                    <w14:schemeClr w14:val="tx1"/>
                  </w14:solidFill>
                </w14:textFill>
              </w:rPr>
              <w:t xml:space="preserve">7 </w:t>
            </w:r>
            <w:r>
              <w:rPr>
                <w:rFonts w:ascii="宋体" w:hAnsi="宋体"/>
                <w:iCs/>
                <w:color w:val="000000" w:themeColor="text1"/>
                <w:kern w:val="0"/>
                <w:sz w:val="18"/>
                <w:szCs w:val="18"/>
                <w14:textFill>
                  <w14:solidFill>
                    <w14:schemeClr w14:val="tx1"/>
                  </w14:solidFill>
                </w14:textFill>
              </w:rPr>
              <w:t>000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26.5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27 </w:t>
            </w:r>
            <w:r>
              <w:rPr>
                <w:rFonts w:ascii="宋体" w:hAnsi="宋体"/>
                <w:iCs/>
                <w:color w:val="000000" w:themeColor="text1"/>
                <w:kern w:val="0"/>
                <w:sz w:val="18"/>
                <w:szCs w:val="18"/>
                <w14:textFill>
                  <w14:solidFill>
                    <w14:schemeClr w14:val="tx1"/>
                  </w14:solidFill>
                </w14:textFill>
              </w:rPr>
              <w:t>000＜GCW≤</w:t>
            </w:r>
            <w:r>
              <w:rPr>
                <w:rFonts w:hint="eastAsia" w:ascii="宋体" w:hAnsi="宋体"/>
                <w:iCs/>
                <w:color w:val="000000" w:themeColor="text1"/>
                <w:kern w:val="0"/>
                <w:sz w:val="18"/>
                <w:szCs w:val="18"/>
                <w14:textFill>
                  <w14:solidFill>
                    <w14:schemeClr w14:val="tx1"/>
                  </w14:solidFill>
                </w14:textFill>
              </w:rPr>
              <w:t>3</w:t>
            </w:r>
            <w:r>
              <w:rPr>
                <w:rFonts w:ascii="宋体" w:hAnsi="宋体"/>
                <w:iCs/>
                <w:color w:val="000000" w:themeColor="text1"/>
                <w:kern w:val="0"/>
                <w:sz w:val="18"/>
                <w:szCs w:val="18"/>
                <w14:textFill>
                  <w14:solidFill>
                    <w14:schemeClr w14:val="tx1"/>
                  </w14:solidFill>
                </w14:textFill>
              </w:rPr>
              <w:t>5</w:t>
            </w:r>
            <w:r>
              <w:rPr>
                <w:rFonts w:hint="eastAsia" w:ascii="宋体" w:hAnsi="宋体"/>
                <w:iCs/>
                <w:color w:val="000000" w:themeColor="text1"/>
                <w:kern w:val="0"/>
                <w:sz w:val="18"/>
                <w:szCs w:val="18"/>
                <w14:textFill>
                  <w14:solidFill>
                    <w14:schemeClr w14:val="tx1"/>
                  </w14:solidFill>
                </w14:textFill>
              </w:rPr>
              <w:t xml:space="preserve"> </w:t>
            </w:r>
            <w:r>
              <w:rPr>
                <w:rFonts w:ascii="宋体" w:hAnsi="宋体"/>
                <w:iCs/>
                <w:color w:val="000000" w:themeColor="text1"/>
                <w:kern w:val="0"/>
                <w:sz w:val="18"/>
                <w:szCs w:val="18"/>
                <w14:textFill>
                  <w14:solidFill>
                    <w14:schemeClr w14:val="tx1"/>
                  </w14:solidFill>
                </w14:textFill>
              </w:rPr>
              <w:t>000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27.8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35 </w:t>
            </w:r>
            <w:r>
              <w:rPr>
                <w:rFonts w:ascii="宋体" w:hAnsi="宋体"/>
                <w:iCs/>
                <w:color w:val="000000" w:themeColor="text1"/>
                <w:kern w:val="0"/>
                <w:sz w:val="18"/>
                <w:szCs w:val="18"/>
                <w14:textFill>
                  <w14:solidFill>
                    <w14:schemeClr w14:val="tx1"/>
                  </w14:solidFill>
                </w14:textFill>
              </w:rPr>
              <w:t>000＜GCW≤</w:t>
            </w:r>
            <w:r>
              <w:rPr>
                <w:rFonts w:hint="eastAsia" w:ascii="宋体" w:hAnsi="宋体"/>
                <w:iCs/>
                <w:color w:val="000000" w:themeColor="text1"/>
                <w:kern w:val="0"/>
                <w:sz w:val="18"/>
                <w:szCs w:val="18"/>
                <w14:textFill>
                  <w14:solidFill>
                    <w14:schemeClr w14:val="tx1"/>
                  </w14:solidFill>
                </w14:textFill>
              </w:rPr>
              <w:t xml:space="preserve">40 </w:t>
            </w:r>
            <w:r>
              <w:rPr>
                <w:rFonts w:ascii="宋体" w:hAnsi="宋体"/>
                <w:iCs/>
                <w:color w:val="000000" w:themeColor="text1"/>
                <w:kern w:val="0"/>
                <w:sz w:val="18"/>
                <w:szCs w:val="18"/>
                <w14:textFill>
                  <w14:solidFill>
                    <w14:schemeClr w14:val="tx1"/>
                  </w14:solidFill>
                </w14:textFill>
              </w:rPr>
              <w:t>000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29.5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40 </w:t>
            </w:r>
            <w:r>
              <w:rPr>
                <w:rFonts w:ascii="宋体" w:hAnsi="宋体"/>
                <w:iCs/>
                <w:color w:val="000000" w:themeColor="text1"/>
                <w:kern w:val="0"/>
                <w:sz w:val="18"/>
                <w:szCs w:val="18"/>
                <w14:textFill>
                  <w14:solidFill>
                    <w14:schemeClr w14:val="tx1"/>
                  </w14:solidFill>
                </w14:textFill>
              </w:rPr>
              <w:t>000＜GCW≤</w:t>
            </w:r>
            <w:r>
              <w:rPr>
                <w:rFonts w:hint="eastAsia" w:ascii="宋体" w:hAnsi="宋体"/>
                <w:iCs/>
                <w:color w:val="000000" w:themeColor="text1"/>
                <w:kern w:val="0"/>
                <w:sz w:val="18"/>
                <w:szCs w:val="18"/>
                <w14:textFill>
                  <w14:solidFill>
                    <w14:schemeClr w14:val="tx1"/>
                  </w14:solidFill>
                </w14:textFill>
              </w:rPr>
              <w:t xml:space="preserve">43 </w:t>
            </w:r>
            <w:r>
              <w:rPr>
                <w:rFonts w:ascii="宋体" w:hAnsi="宋体"/>
                <w:iCs/>
                <w:color w:val="000000" w:themeColor="text1"/>
                <w:kern w:val="0"/>
                <w:sz w:val="18"/>
                <w:szCs w:val="18"/>
                <w14:textFill>
                  <w14:solidFill>
                    <w14:schemeClr w14:val="tx1"/>
                  </w14:solidFill>
                </w14:textFill>
              </w:rPr>
              <w:t>000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31.2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43 </w:t>
            </w:r>
            <w:r>
              <w:rPr>
                <w:rFonts w:ascii="宋体" w:hAnsi="宋体"/>
                <w:iCs/>
                <w:color w:val="000000" w:themeColor="text1"/>
                <w:kern w:val="0"/>
                <w:sz w:val="18"/>
                <w:szCs w:val="18"/>
                <w14:textFill>
                  <w14:solidFill>
                    <w14:schemeClr w14:val="tx1"/>
                  </w14:solidFill>
                </w14:textFill>
              </w:rPr>
              <w:t>000＜GCW≤</w:t>
            </w:r>
            <w:r>
              <w:rPr>
                <w:rFonts w:hint="eastAsia" w:ascii="宋体" w:hAnsi="宋体"/>
                <w:iCs/>
                <w:color w:val="000000" w:themeColor="text1"/>
                <w:kern w:val="0"/>
                <w:sz w:val="18"/>
                <w:szCs w:val="18"/>
                <w14:textFill>
                  <w14:solidFill>
                    <w14:schemeClr w14:val="tx1"/>
                  </w14:solidFill>
                </w14:textFill>
              </w:rPr>
              <w:t xml:space="preserve">46 </w:t>
            </w:r>
            <w:r>
              <w:rPr>
                <w:rFonts w:ascii="宋体" w:hAnsi="宋体"/>
                <w:iCs/>
                <w:color w:val="000000" w:themeColor="text1"/>
                <w:kern w:val="0"/>
                <w:sz w:val="18"/>
                <w:szCs w:val="18"/>
                <w14:textFill>
                  <w14:solidFill>
                    <w14:schemeClr w14:val="tx1"/>
                  </w14:solidFill>
                </w14:textFill>
              </w:rPr>
              <w:t>000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33.7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iCs/>
                <w:color w:val="000000" w:themeColor="text1"/>
                <w:kern w:val="0"/>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46 </w:t>
            </w:r>
            <w:r>
              <w:rPr>
                <w:rFonts w:ascii="宋体" w:hAnsi="宋体"/>
                <w:iCs/>
                <w:color w:val="000000" w:themeColor="text1"/>
                <w:kern w:val="0"/>
                <w:sz w:val="18"/>
                <w:szCs w:val="18"/>
                <w14:textFill>
                  <w14:solidFill>
                    <w14:schemeClr w14:val="tx1"/>
                  </w14:solidFill>
                </w14:textFill>
              </w:rPr>
              <w:t>000＜GCW≤</w:t>
            </w:r>
            <w:r>
              <w:rPr>
                <w:rFonts w:hint="eastAsia" w:ascii="宋体" w:hAnsi="宋体"/>
                <w:iCs/>
                <w:color w:val="000000" w:themeColor="text1"/>
                <w:kern w:val="0"/>
                <w:sz w:val="18"/>
                <w:szCs w:val="18"/>
                <w14:textFill>
                  <w14:solidFill>
                    <w14:schemeClr w14:val="tx1"/>
                  </w14:solidFill>
                </w14:textFill>
              </w:rPr>
              <w:t xml:space="preserve">49 </w:t>
            </w:r>
            <w:r>
              <w:rPr>
                <w:rFonts w:ascii="宋体" w:hAnsi="宋体"/>
                <w:iCs/>
                <w:color w:val="000000" w:themeColor="text1"/>
                <w:kern w:val="0"/>
                <w:sz w:val="18"/>
                <w:szCs w:val="18"/>
                <w14:textFill>
                  <w14:solidFill>
                    <w14:schemeClr w14:val="tx1"/>
                  </w14:solidFill>
                </w14:textFill>
              </w:rPr>
              <w:t>000</w:t>
            </w:r>
          </w:p>
        </w:tc>
        <w:tc>
          <w:tcPr>
            <w:tcW w:w="4561" w:type="dxa"/>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35.8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bottom w:val="single" w:color="auto" w:sz="8" w:space="0"/>
            </w:tcBorders>
            <w:shd w:val="clear" w:color="auto" w:fill="auto"/>
            <w:vAlign w:val="center"/>
          </w:tcPr>
          <w:p>
            <w:pPr>
              <w:spacing w:line="240" w:lineRule="auto"/>
              <w:jc w:val="center"/>
              <w:rPr>
                <w:rFonts w:ascii="宋体" w:hAnsi="宋体"/>
                <w:iCs/>
                <w:color w:val="000000" w:themeColor="text1"/>
                <w:sz w:val="18"/>
                <w:szCs w:val="18"/>
                <w14:textFill>
                  <w14:solidFill>
                    <w14:schemeClr w14:val="tx1"/>
                  </w14:solidFill>
                </w14:textFill>
              </w:rPr>
            </w:pPr>
            <w:r>
              <w:rPr>
                <w:rFonts w:hint="eastAsia" w:ascii="宋体" w:hAnsi="宋体"/>
                <w:iCs/>
                <w:color w:val="000000" w:themeColor="text1"/>
                <w:kern w:val="0"/>
                <w:sz w:val="18"/>
                <w:szCs w:val="18"/>
                <w14:textFill>
                  <w14:solidFill>
                    <w14:schemeClr w14:val="tx1"/>
                  </w14:solidFill>
                </w14:textFill>
              </w:rPr>
              <w:t xml:space="preserve">49 </w:t>
            </w:r>
            <w:r>
              <w:rPr>
                <w:rFonts w:ascii="宋体" w:hAnsi="宋体"/>
                <w:iCs/>
                <w:color w:val="000000" w:themeColor="text1"/>
                <w:kern w:val="0"/>
                <w:sz w:val="18"/>
                <w:szCs w:val="18"/>
                <w14:textFill>
                  <w14:solidFill>
                    <w14:schemeClr w14:val="tx1"/>
                  </w14:solidFill>
                </w14:textFill>
              </w:rPr>
              <w:t>000＜GCW</w:t>
            </w:r>
          </w:p>
        </w:tc>
        <w:tc>
          <w:tcPr>
            <w:tcW w:w="4561" w:type="dxa"/>
            <w:tcBorders>
              <w:bottom w:val="single" w:color="auto" w:sz="8" w:space="0"/>
            </w:tcBorders>
            <w:shd w:val="clear" w:color="auto" w:fill="auto"/>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 xml:space="preserve">35.9 </w:t>
            </w:r>
          </w:p>
        </w:tc>
      </w:tr>
    </w:tbl>
    <w:p>
      <w:pPr>
        <w:pStyle w:val="105"/>
        <w:spacing w:before="156" w:after="156"/>
        <w:ind w:left="0"/>
        <w:rPr>
          <w:rFonts w:ascii="宋体" w:hAnsi="宋体" w:eastAsia="宋体"/>
          <w:color w:val="000000" w:themeColor="text1"/>
          <w14:textFill>
            <w14:solidFill>
              <w14:schemeClr w14:val="tx1"/>
            </w14:solidFill>
          </w14:textFill>
        </w:rPr>
      </w:pPr>
      <w:bookmarkStart w:id="68" w:name="_Toc90888482"/>
      <w:bookmarkStart w:id="69" w:name="_Toc90888457"/>
      <w:r>
        <w:rPr>
          <w:rFonts w:hint="eastAsia" w:ascii="宋体" w:hAnsi="宋体" w:eastAsia="宋体"/>
          <w:color w:val="000000" w:themeColor="text1"/>
          <w14:textFill>
            <w14:solidFill>
              <w14:schemeClr w14:val="tx1"/>
            </w14:solidFill>
          </w14:textFill>
        </w:rPr>
        <w:t>客车综合燃料消耗量限值见表3。</w:t>
      </w:r>
      <w:bookmarkEnd w:id="68"/>
      <w:bookmarkEnd w:id="69"/>
    </w:p>
    <w:p>
      <w:pPr>
        <w:pStyle w:val="232"/>
        <w:numPr>
          <w:ilvl w:val="0"/>
          <w:numId w:val="16"/>
        </w:numPr>
        <w:tabs>
          <w:tab w:val="left" w:pos="360"/>
        </w:tabs>
        <w:rPr>
          <w:color w:val="000000" w:themeColor="text1"/>
          <w14:textFill>
            <w14:solidFill>
              <w14:schemeClr w14:val="tx1"/>
            </w14:solidFill>
          </w14:textFill>
        </w:rPr>
      </w:pPr>
      <w:r>
        <w:rPr>
          <w:rFonts w:hint="eastAsia"/>
          <w:color w:val="000000" w:themeColor="text1"/>
          <w14:textFill>
            <w14:solidFill>
              <w14:schemeClr w14:val="tx1"/>
            </w14:solidFill>
          </w14:textFill>
        </w:rPr>
        <w:t>客车燃料消耗量限值</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GVW</w:t>
            </w:r>
            <w:r>
              <w:rPr>
                <w:rFonts w:hint="eastAsia" w:ascii="宋体" w:hAnsi="宋体"/>
                <w:color w:val="000000" w:themeColor="text1"/>
                <w:sz w:val="18"/>
                <w:szCs w:val="18"/>
                <w14:textFill>
                  <w14:solidFill>
                    <w14:schemeClr w14:val="tx1"/>
                  </w14:solidFill>
                </w14:textFill>
              </w:rPr>
              <w:t>）</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3 500＜GVW≤</w:t>
            </w: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w:t>
            </w:r>
          </w:p>
        </w:tc>
        <w:tc>
          <w:tcPr>
            <w:tcW w:w="4561" w:type="dxa"/>
            <w:tcBorders>
              <w:top w:val="single" w:color="auto" w:sz="8" w:space="0"/>
            </w:tcBorders>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9.7</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500＜GVW≤</w:t>
            </w:r>
            <w:r>
              <w:rPr>
                <w:rFonts w:hint="eastAsia" w:ascii="宋体" w:hAnsi="宋体"/>
                <w:color w:val="000000" w:themeColor="text1"/>
                <w:kern w:val="0"/>
                <w:sz w:val="18"/>
                <w:szCs w:val="18"/>
                <w14:textFill>
                  <w14:solidFill>
                    <w14:schemeClr w14:val="tx1"/>
                  </w14:solidFill>
                </w14:textFill>
              </w:rPr>
              <w:t>5</w:t>
            </w:r>
            <w:r>
              <w:rPr>
                <w:rFonts w:ascii="宋体" w:hAnsi="宋体"/>
                <w:color w:val="000000" w:themeColor="text1"/>
                <w:kern w:val="0"/>
                <w:sz w:val="18"/>
                <w:szCs w:val="18"/>
                <w14:textFill>
                  <w14:solidFill>
                    <w14:schemeClr w14:val="tx1"/>
                  </w14:solidFill>
                </w14:textFill>
              </w:rPr>
              <w:t xml:space="preserve"> 500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11.4</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5 500＜GVW≤</w:t>
            </w:r>
            <w:r>
              <w:rPr>
                <w:rFonts w:hint="eastAsia" w:ascii="宋体" w:hAnsi="宋体"/>
                <w:color w:val="000000" w:themeColor="text1"/>
                <w:kern w:val="0"/>
                <w:sz w:val="18"/>
                <w:szCs w:val="18"/>
                <w14:textFill>
                  <w14:solidFill>
                    <w14:schemeClr w14:val="tx1"/>
                  </w14:solidFill>
                </w14:textFill>
              </w:rPr>
              <w:t>7</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13.1</w:t>
            </w:r>
            <w:r>
              <w:rPr>
                <w:rFonts w:ascii="宋体" w:hAnsi="宋体"/>
                <w:color w:val="000000" w:themeColor="text1"/>
                <w:sz w:val="18"/>
                <w:szCs w:val="18"/>
                <w:vertAlign w:val="superscript"/>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14.3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15.8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12 5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17.8 </w:t>
            </w:r>
          </w:p>
        </w:tc>
      </w:tr>
    </w:tbl>
    <w:p>
      <w:pPr>
        <w:pStyle w:val="56"/>
        <w:spacing w:before="156" w:beforeLines="50" w:after="156" w:afterLines="50"/>
        <w:ind w:firstLine="0" w:firstLineChars="0"/>
        <w:jc w:val="center"/>
        <w:rPr>
          <w:rFonts w:ascii="黑体" w:hAnsi="黑体" w:eastAsia="黑体"/>
          <w:color w:val="000000" w:themeColor="text1"/>
          <w14:textFill>
            <w14:solidFill>
              <w14:schemeClr w14:val="tx1"/>
            </w14:solidFill>
          </w14:textFill>
        </w:rPr>
      </w:pPr>
      <w:bookmarkStart w:id="70" w:name="_Toc90888483"/>
      <w:bookmarkStart w:id="71" w:name="_Toc90888458"/>
      <w:r>
        <w:rPr>
          <w:rFonts w:hint="eastAsia" w:ascii="黑体" w:hAnsi="黑体" w:eastAsia="黑体"/>
          <w:color w:val="000000" w:themeColor="text1"/>
          <w14:textFill>
            <w14:solidFill>
              <w14:schemeClr w14:val="tx1"/>
            </w14:solidFill>
          </w14:textFill>
        </w:rPr>
        <w:t>表</w:t>
      </w:r>
      <w:r>
        <w:rPr>
          <w:rFonts w:ascii="黑体" w:hAnsi="黑体" w:eastAsia="黑体"/>
          <w:color w:val="000000" w:themeColor="text1"/>
          <w14:textFill>
            <w14:solidFill>
              <w14:schemeClr w14:val="tx1"/>
            </w14:solidFill>
          </w14:textFill>
        </w:rPr>
        <w:t>3  客车燃料消耗量限值</w:t>
      </w:r>
      <w:r>
        <w:rPr>
          <w:rFonts w:hAnsi="宋体"/>
          <w:color w:val="000000" w:themeColor="text1"/>
          <w14:textFill>
            <w14:solidFill>
              <w14:schemeClr w14:val="tx1"/>
            </w14:solidFill>
          </w14:textFill>
        </w:rPr>
        <w:t>（续）</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GVW</w:t>
            </w:r>
            <w:r>
              <w:rPr>
                <w:rFonts w:hint="eastAsia" w:ascii="宋体" w:hAnsi="宋体"/>
                <w:color w:val="000000" w:themeColor="text1"/>
                <w:sz w:val="18"/>
                <w:szCs w:val="18"/>
                <w14:textFill>
                  <w14:solidFill>
                    <w14:schemeClr w14:val="tx1"/>
                  </w14:solidFill>
                </w14:textFill>
              </w:rPr>
              <w:t>）</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14 5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19.4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14 5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16 5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20.6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16 5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18 0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21.9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18 0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22 0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23.1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bottom w:val="single" w:color="auto" w:sz="4"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22 0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25 0</w:t>
            </w:r>
            <w:r>
              <w:rPr>
                <w:rFonts w:ascii="宋体" w:hAnsi="宋体"/>
                <w:color w:val="000000" w:themeColor="text1"/>
                <w:kern w:val="0"/>
                <w:sz w:val="18"/>
                <w:szCs w:val="18"/>
                <w14:textFill>
                  <w14:solidFill>
                    <w14:schemeClr w14:val="tx1"/>
                  </w14:solidFill>
                </w14:textFill>
              </w:rPr>
              <w:t>00</w:t>
            </w:r>
          </w:p>
        </w:tc>
        <w:tc>
          <w:tcPr>
            <w:tcW w:w="4561" w:type="dxa"/>
            <w:tcBorders>
              <w:bottom w:val="single" w:color="auto" w:sz="4"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25.0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bottom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25 0</w:t>
            </w:r>
            <w:r>
              <w:rPr>
                <w:rFonts w:ascii="宋体" w:hAnsi="宋体"/>
                <w:color w:val="000000" w:themeColor="text1"/>
                <w:kern w:val="0"/>
                <w:sz w:val="18"/>
                <w:szCs w:val="18"/>
                <w14:textFill>
                  <w14:solidFill>
                    <w14:schemeClr w14:val="tx1"/>
                  </w14:solidFill>
                </w14:textFill>
              </w:rPr>
              <w:t>00＜GVW</w:t>
            </w:r>
          </w:p>
        </w:tc>
        <w:tc>
          <w:tcPr>
            <w:tcW w:w="4561" w:type="dxa"/>
            <w:tcBorders>
              <w:top w:val="single" w:color="auto" w:sz="4" w:space="0"/>
              <w:bottom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26.2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46" w:type="dxa"/>
            <w:gridSpan w:val="2"/>
            <w:tcBorders>
              <w:top w:val="single" w:color="auto" w:sz="8" w:space="0"/>
              <w:bottom w:val="single" w:color="auto" w:sz="8" w:space="0"/>
            </w:tcBorders>
            <w:shd w:val="clear" w:color="auto" w:fill="auto"/>
            <w:vAlign w:val="center"/>
          </w:tcPr>
          <w:p>
            <w:pPr>
              <w:pStyle w:val="231"/>
              <w:ind w:left="363" w:firstLine="0"/>
              <w:rPr>
                <w:rFonts w:hAnsi="宋体"/>
                <w:color w:val="000000" w:themeColor="text1"/>
                <w14:textFill>
                  <w14:solidFill>
                    <w14:schemeClr w14:val="tx1"/>
                  </w14:solidFill>
                </w14:textFill>
              </w:rPr>
            </w:pPr>
            <w:r>
              <w:rPr>
                <w:rFonts w:hint="eastAsia" w:hAnsi="宋体"/>
                <w:color w:val="000000" w:themeColor="text1"/>
                <w:vertAlign w:val="superscript"/>
                <w14:textFill>
                  <w14:solidFill>
                    <w14:schemeClr w14:val="tx1"/>
                  </w14:solidFill>
                </w14:textFill>
              </w:rPr>
              <w:t xml:space="preserve">a </w:t>
            </w:r>
            <w:r>
              <w:rPr>
                <w:rFonts w:hint="eastAsia" w:hAnsi="宋体"/>
                <w:color w:val="000000" w:themeColor="text1"/>
                <w14:textFill>
                  <w14:solidFill>
                    <w14:schemeClr w14:val="tx1"/>
                  </w14:solidFill>
                </w14:textFill>
              </w:rPr>
              <w:t xml:space="preserve"> 对于汽油车，其限值是表中相应限值乘以1.3，求得的数值圆整（四舍五入）至小数点后一位。</w:t>
            </w:r>
          </w:p>
        </w:tc>
      </w:tr>
    </w:tbl>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自卸汽车综合燃料消耗量限值见表4。</w:t>
      </w:r>
      <w:bookmarkEnd w:id="70"/>
      <w:bookmarkEnd w:id="71"/>
    </w:p>
    <w:p>
      <w:pPr>
        <w:pStyle w:val="232"/>
        <w:numPr>
          <w:ilvl w:val="0"/>
          <w:numId w:val="16"/>
        </w:numPr>
        <w:tabs>
          <w:tab w:val="left" w:pos="360"/>
        </w:tabs>
        <w:rPr>
          <w:color w:val="000000" w:themeColor="text1"/>
          <w14:textFill>
            <w14:solidFill>
              <w14:schemeClr w14:val="tx1"/>
            </w14:solidFill>
          </w14:textFill>
        </w:rPr>
      </w:pPr>
      <w:r>
        <w:rPr>
          <w:rFonts w:hint="eastAsia"/>
          <w:color w:val="000000" w:themeColor="text1"/>
          <w14:textFill>
            <w14:solidFill>
              <w14:schemeClr w14:val="tx1"/>
            </w14:solidFill>
          </w14:textFill>
        </w:rPr>
        <w:t>自卸汽车燃料消耗量限值</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GVW</w:t>
            </w:r>
            <w:r>
              <w:rPr>
                <w:rFonts w:hint="eastAsia" w:ascii="宋体" w:hAnsi="宋体"/>
                <w:color w:val="000000" w:themeColor="text1"/>
                <w:sz w:val="18"/>
                <w:szCs w:val="18"/>
                <w14:textFill>
                  <w14:solidFill>
                    <w14:schemeClr w14:val="tx1"/>
                  </w14:solidFill>
                </w14:textFill>
              </w:rPr>
              <w:t>）</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3 500＜GVW≤</w:t>
            </w: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w:t>
            </w:r>
          </w:p>
        </w:tc>
        <w:tc>
          <w:tcPr>
            <w:tcW w:w="4561" w:type="dxa"/>
            <w:tcBorders>
              <w:top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12.0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500＜GVW≤5 500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12.5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5 500＜GVW≤</w:t>
            </w:r>
            <w:r>
              <w:rPr>
                <w:rFonts w:hint="eastAsia" w:ascii="宋体" w:hAnsi="宋体"/>
                <w:color w:val="000000" w:themeColor="text1"/>
                <w:kern w:val="0"/>
                <w:sz w:val="18"/>
                <w:szCs w:val="18"/>
                <w14:textFill>
                  <w14:solidFill>
                    <w14:schemeClr w14:val="tx1"/>
                  </w14:solidFill>
                </w14:textFill>
              </w:rPr>
              <w:t>7</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13.9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16.2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18.0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12 5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20.3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12 500＜GVW≤</w:t>
            </w:r>
            <w:r>
              <w:rPr>
                <w:rFonts w:hint="eastAsia" w:ascii="宋体" w:hAnsi="宋体"/>
                <w:color w:val="000000" w:themeColor="text1"/>
                <w:kern w:val="0"/>
                <w:sz w:val="18"/>
                <w:szCs w:val="18"/>
                <w14:textFill>
                  <w14:solidFill>
                    <w14:schemeClr w14:val="tx1"/>
                  </w14:solidFill>
                </w14:textFill>
              </w:rPr>
              <w:t>16</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23.1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w:t>
            </w: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20</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27.3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25</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35.0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25</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31</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38.2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31</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00＜GVW</w:t>
            </w:r>
          </w:p>
        </w:tc>
        <w:tc>
          <w:tcPr>
            <w:tcW w:w="4561" w:type="dxa"/>
            <w:tcBorders>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38.7 </w:t>
            </w:r>
          </w:p>
        </w:tc>
      </w:tr>
    </w:tbl>
    <w:p>
      <w:pPr>
        <w:pStyle w:val="105"/>
        <w:spacing w:before="156" w:after="156"/>
        <w:ind w:left="0"/>
        <w:rPr>
          <w:rFonts w:ascii="宋体" w:hAnsi="宋体" w:eastAsia="宋体"/>
          <w:color w:val="000000" w:themeColor="text1"/>
          <w14:textFill>
            <w14:solidFill>
              <w14:schemeClr w14:val="tx1"/>
            </w14:solidFill>
          </w14:textFill>
        </w:rPr>
      </w:pPr>
      <w:bookmarkStart w:id="72" w:name="_Toc90888484"/>
      <w:bookmarkStart w:id="73" w:name="_Toc90888459"/>
      <w:r>
        <w:rPr>
          <w:rFonts w:hint="eastAsia" w:ascii="宋体" w:hAnsi="宋体" w:eastAsia="宋体"/>
          <w:color w:val="000000" w:themeColor="text1"/>
          <w14:textFill>
            <w14:solidFill>
              <w14:schemeClr w14:val="tx1"/>
            </w14:solidFill>
          </w14:textFill>
        </w:rPr>
        <w:t>城市客车综合燃料消耗量限值见表5。</w:t>
      </w:r>
      <w:bookmarkEnd w:id="72"/>
      <w:bookmarkEnd w:id="73"/>
    </w:p>
    <w:p>
      <w:pPr>
        <w:pStyle w:val="232"/>
        <w:numPr>
          <w:ilvl w:val="0"/>
          <w:numId w:val="16"/>
        </w:numPr>
        <w:tabs>
          <w:tab w:val="left" w:pos="360"/>
        </w:tabs>
        <w:rPr>
          <w:color w:val="000000" w:themeColor="text1"/>
          <w14:textFill>
            <w14:solidFill>
              <w14:schemeClr w14:val="tx1"/>
            </w14:solidFill>
          </w14:textFill>
        </w:rPr>
      </w:pPr>
      <w:r>
        <w:rPr>
          <w:rFonts w:hint="eastAsia"/>
          <w:color w:val="000000" w:themeColor="text1"/>
          <w14:textFill>
            <w14:solidFill>
              <w14:schemeClr w14:val="tx1"/>
            </w14:solidFill>
          </w14:textFill>
        </w:rPr>
        <w:t>城市客车燃料消耗量限值</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GVW</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vertAlign w:val="superscript"/>
                <w14:textFill>
                  <w14:solidFill>
                    <w14:schemeClr w14:val="tx1"/>
                  </w14:solidFill>
                </w14:textFill>
              </w:rPr>
              <w:t>a</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3 500＜GVW≤</w:t>
            </w: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w:t>
            </w:r>
          </w:p>
        </w:tc>
        <w:tc>
          <w:tcPr>
            <w:tcW w:w="4561" w:type="dxa"/>
            <w:tcBorders>
              <w:top w:val="single" w:color="auto" w:sz="8" w:space="0"/>
            </w:tcBorders>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10.9</w:t>
            </w:r>
            <w:r>
              <w:rPr>
                <w:rFonts w:hint="eastAsia" w:ascii="宋体" w:hAnsi="宋体"/>
                <w:color w:val="000000" w:themeColor="text1"/>
                <w:sz w:val="18"/>
                <w:szCs w:val="18"/>
                <w:vertAlign w:val="superscript"/>
                <w14:textFill>
                  <w14:solidFill>
                    <w14:schemeClr w14:val="tx1"/>
                  </w14:solidFill>
                </w14:textFill>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 xml:space="preserve"> 500＜GVW≤</w:t>
            </w:r>
            <w:r>
              <w:rPr>
                <w:rFonts w:hint="eastAsia" w:ascii="宋体" w:hAnsi="宋体"/>
                <w:color w:val="000000" w:themeColor="text1"/>
                <w:kern w:val="0"/>
                <w:sz w:val="18"/>
                <w:szCs w:val="18"/>
                <w14:textFill>
                  <w14:solidFill>
                    <w14:schemeClr w14:val="tx1"/>
                  </w14:solidFill>
                </w14:textFill>
              </w:rPr>
              <w:t>5</w:t>
            </w:r>
            <w:r>
              <w:rPr>
                <w:rFonts w:ascii="宋体" w:hAnsi="宋体"/>
                <w:color w:val="000000" w:themeColor="text1"/>
                <w:kern w:val="0"/>
                <w:sz w:val="18"/>
                <w:szCs w:val="18"/>
                <w14:textFill>
                  <w14:solidFill>
                    <w14:schemeClr w14:val="tx1"/>
                  </w14:solidFill>
                </w14:textFill>
              </w:rPr>
              <w:t xml:space="preserve"> 500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12.5</w:t>
            </w:r>
            <w:r>
              <w:rPr>
                <w:rFonts w:hint="eastAsia" w:ascii="宋体" w:hAnsi="宋体"/>
                <w:color w:val="000000" w:themeColor="text1"/>
                <w:sz w:val="18"/>
                <w:szCs w:val="18"/>
                <w:vertAlign w:val="superscript"/>
                <w14:textFill>
                  <w14:solidFill>
                    <w14:schemeClr w14:val="tx1"/>
                  </w14:solidFill>
                </w14:textFill>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5 500＜GVW≤</w:t>
            </w:r>
            <w:r>
              <w:rPr>
                <w:rFonts w:hint="eastAsia" w:ascii="宋体" w:hAnsi="宋体"/>
                <w:color w:val="000000" w:themeColor="text1"/>
                <w:kern w:val="0"/>
                <w:sz w:val="18"/>
                <w:szCs w:val="18"/>
                <w14:textFill>
                  <w14:solidFill>
                    <w14:schemeClr w14:val="tx1"/>
                  </w14:solidFill>
                </w14:textFill>
              </w:rPr>
              <w:t>7</w:t>
            </w:r>
            <w:r>
              <w:rPr>
                <w:rFonts w:ascii="宋体" w:hAnsi="宋体"/>
                <w:color w:val="000000" w:themeColor="text1"/>
                <w:kern w:val="0"/>
                <w:sz w:val="18"/>
                <w:szCs w:val="18"/>
                <w14:textFill>
                  <w14:solidFill>
                    <w14:schemeClr w14:val="tx1"/>
                  </w14:solidFill>
                </w14:textFill>
              </w:rPr>
              <w:t xml:space="preserve"> </w:t>
            </w: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bottom"/>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14.3</w:t>
            </w:r>
            <w:r>
              <w:rPr>
                <w:rFonts w:hint="eastAsia" w:ascii="宋体" w:hAnsi="宋体"/>
                <w:color w:val="000000" w:themeColor="text1"/>
                <w:sz w:val="18"/>
                <w:szCs w:val="18"/>
                <w:vertAlign w:val="superscript"/>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16.5</w:t>
            </w:r>
            <w:r>
              <w:rPr>
                <w:rFonts w:hint="eastAsia" w:ascii="宋体" w:hAnsi="宋体"/>
                <w:color w:val="000000" w:themeColor="text1"/>
                <w:sz w:val="18"/>
                <w:szCs w:val="18"/>
                <w:vertAlign w:val="superscript"/>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19.4</w:t>
            </w:r>
            <w:r>
              <w:rPr>
                <w:rFonts w:hint="eastAsia" w:ascii="宋体" w:hAnsi="宋体"/>
                <w:color w:val="000000" w:themeColor="text1"/>
                <w:sz w:val="18"/>
                <w:szCs w:val="18"/>
                <w:vertAlign w:val="superscript"/>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12 5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22.6</w:t>
            </w:r>
            <w:r>
              <w:rPr>
                <w:rFonts w:hint="eastAsia" w:ascii="宋体" w:hAnsi="宋体"/>
                <w:color w:val="000000" w:themeColor="text1"/>
                <w:sz w:val="18"/>
                <w:szCs w:val="18"/>
                <w:vertAlign w:val="superscript"/>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14 5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26.1</w:t>
            </w:r>
            <w:r>
              <w:rPr>
                <w:rFonts w:hint="eastAsia" w:ascii="宋体" w:hAnsi="宋体"/>
                <w:color w:val="000000" w:themeColor="text1"/>
                <w:sz w:val="18"/>
                <w:szCs w:val="18"/>
                <w:vertAlign w:val="superscript"/>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14 5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16 5</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29.0 </w:t>
            </w:r>
          </w:p>
        </w:tc>
      </w:tr>
    </w:tbl>
    <w:p>
      <w:pPr>
        <w:pStyle w:val="56"/>
        <w:spacing w:before="156" w:beforeLines="50" w:after="156" w:afterLines="50"/>
        <w:ind w:firstLine="0" w:firstLineChars="0"/>
        <w:jc w:val="center"/>
        <w:rPr>
          <w:rFonts w:ascii="黑体" w:hAnsi="黑体" w:eastAsia="黑体"/>
          <w:color w:val="000000" w:themeColor="text1"/>
          <w14:textFill>
            <w14:solidFill>
              <w14:schemeClr w14:val="tx1"/>
            </w14:solidFill>
          </w14:textFill>
        </w:rPr>
      </w:pPr>
      <w:bookmarkStart w:id="74" w:name="_Toc310951754"/>
      <w:bookmarkStart w:id="75" w:name="_Toc90888485"/>
      <w:bookmarkStart w:id="76" w:name="_Toc90888460"/>
      <w:bookmarkStart w:id="77" w:name="_Toc334551802"/>
      <w:r>
        <w:rPr>
          <w:rFonts w:hint="eastAsia" w:ascii="黑体" w:hAnsi="黑体" w:eastAsia="黑体"/>
          <w:color w:val="000000" w:themeColor="text1"/>
          <w14:textFill>
            <w14:solidFill>
              <w14:schemeClr w14:val="tx1"/>
            </w14:solidFill>
          </w14:textFill>
        </w:rPr>
        <w:t>表</w:t>
      </w:r>
      <w:r>
        <w:rPr>
          <w:rFonts w:ascii="黑体" w:hAnsi="黑体" w:eastAsia="黑体"/>
          <w:color w:val="000000" w:themeColor="text1"/>
          <w14:textFill>
            <w14:solidFill>
              <w14:schemeClr w14:val="tx1"/>
            </w14:solidFill>
          </w14:textFill>
        </w:rPr>
        <w:t>5  城市客车燃料消耗量限值</w:t>
      </w:r>
      <w:r>
        <w:rPr>
          <w:rFonts w:hAnsi="宋体"/>
          <w:color w:val="000000" w:themeColor="text1"/>
          <w14:textFill>
            <w14:solidFill>
              <w14:schemeClr w14:val="tx1"/>
            </w14:solidFill>
          </w14:textFill>
        </w:rPr>
        <w:t>（续）</w:t>
      </w:r>
    </w:p>
    <w:tbl>
      <w:tblPr>
        <w:tblStyle w:val="26"/>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85"/>
        <w:gridCol w:w="45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最大设计总质量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GVW</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vertAlign w:val="superscript"/>
                <w14:textFill>
                  <w14:solidFill>
                    <w14:schemeClr w14:val="tx1"/>
                  </w14:solidFill>
                </w14:textFill>
              </w:rPr>
              <w:t>a</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kg</w:t>
            </w:r>
          </w:p>
        </w:tc>
        <w:tc>
          <w:tcPr>
            <w:tcW w:w="4561" w:type="dxa"/>
            <w:tcBorders>
              <w:top w:val="single" w:color="auto" w:sz="8"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燃料消耗量限值</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L/100km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16 5</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18 0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32.5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18 0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22 0</w:t>
            </w:r>
            <w:r>
              <w:rPr>
                <w:rFonts w:ascii="宋体" w:hAnsi="宋体"/>
                <w:color w:val="000000" w:themeColor="text1"/>
                <w:kern w:val="0"/>
                <w:sz w:val="18"/>
                <w:szCs w:val="18"/>
                <w14:textFill>
                  <w14:solidFill>
                    <w14:schemeClr w14:val="tx1"/>
                  </w14:solidFill>
                </w14:textFill>
              </w:rPr>
              <w:t>00</w:t>
            </w:r>
          </w:p>
        </w:tc>
        <w:tc>
          <w:tcPr>
            <w:tcW w:w="4561"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36.5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bottom w:val="single" w:color="auto" w:sz="4"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22 0</w:t>
            </w:r>
            <w:r>
              <w:rPr>
                <w:rFonts w:ascii="宋体" w:hAnsi="宋体"/>
                <w:color w:val="000000" w:themeColor="text1"/>
                <w:kern w:val="0"/>
                <w:sz w:val="18"/>
                <w:szCs w:val="18"/>
                <w14:textFill>
                  <w14:solidFill>
                    <w14:schemeClr w14:val="tx1"/>
                  </w14:solidFill>
                </w14:textFill>
              </w:rPr>
              <w:t>00＜GVW≤</w:t>
            </w:r>
            <w:r>
              <w:rPr>
                <w:rFonts w:hint="eastAsia" w:ascii="宋体" w:hAnsi="宋体"/>
                <w:color w:val="000000" w:themeColor="text1"/>
                <w:kern w:val="0"/>
                <w:sz w:val="18"/>
                <w:szCs w:val="18"/>
                <w14:textFill>
                  <w14:solidFill>
                    <w14:schemeClr w14:val="tx1"/>
                  </w14:solidFill>
                </w14:textFill>
              </w:rPr>
              <w:t>25 0</w:t>
            </w:r>
            <w:r>
              <w:rPr>
                <w:rFonts w:ascii="宋体" w:hAnsi="宋体"/>
                <w:color w:val="000000" w:themeColor="text1"/>
                <w:kern w:val="0"/>
                <w:sz w:val="18"/>
                <w:szCs w:val="18"/>
                <w14:textFill>
                  <w14:solidFill>
                    <w14:schemeClr w14:val="tx1"/>
                  </w14:solidFill>
                </w14:textFill>
              </w:rPr>
              <w:t>00</w:t>
            </w:r>
          </w:p>
        </w:tc>
        <w:tc>
          <w:tcPr>
            <w:tcW w:w="4561" w:type="dxa"/>
            <w:tcBorders>
              <w:bottom w:val="single" w:color="auto" w:sz="4"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41.2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785" w:type="dxa"/>
            <w:tcBorders>
              <w:top w:val="single" w:color="auto" w:sz="4" w:space="0"/>
              <w:bottom w:val="single" w:color="auto" w:sz="8" w:space="0"/>
            </w:tcBorders>
            <w:shd w:val="clear" w:color="auto" w:fill="auto"/>
            <w:vAlign w:val="center"/>
          </w:tcPr>
          <w:p>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25 0</w:t>
            </w:r>
            <w:r>
              <w:rPr>
                <w:rFonts w:ascii="宋体" w:hAnsi="宋体"/>
                <w:color w:val="000000" w:themeColor="text1"/>
                <w:kern w:val="0"/>
                <w:sz w:val="18"/>
                <w:szCs w:val="18"/>
                <w14:textFill>
                  <w14:solidFill>
                    <w14:schemeClr w14:val="tx1"/>
                  </w14:solidFill>
                </w14:textFill>
              </w:rPr>
              <w:t>00＜GVW</w:t>
            </w:r>
          </w:p>
        </w:tc>
        <w:tc>
          <w:tcPr>
            <w:tcW w:w="4561" w:type="dxa"/>
            <w:tcBorders>
              <w:top w:val="single" w:color="auto" w:sz="4" w:space="0"/>
              <w:bottom w:val="single" w:color="auto" w:sz="8" w:space="0"/>
            </w:tcBorders>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44.9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346" w:type="dxa"/>
            <w:gridSpan w:val="2"/>
            <w:tcBorders>
              <w:top w:val="single" w:color="auto" w:sz="8" w:space="0"/>
              <w:bottom w:val="single" w:color="auto" w:sz="8" w:space="0"/>
            </w:tcBorders>
            <w:shd w:val="clear" w:color="auto" w:fill="auto"/>
            <w:vAlign w:val="center"/>
          </w:tcPr>
          <w:p>
            <w:pPr>
              <w:pStyle w:val="56"/>
              <w:ind w:firstLine="360"/>
              <w:rPr>
                <w:rFonts w:hAnsi="宋体"/>
                <w:color w:val="000000" w:themeColor="text1"/>
                <w:sz w:val="18"/>
                <w:szCs w:val="18"/>
                <w14:textFill>
                  <w14:solidFill>
                    <w14:schemeClr w14:val="tx1"/>
                  </w14:solidFill>
                </w14:textFill>
              </w:rPr>
            </w:pPr>
            <w:r>
              <w:rPr>
                <w:rFonts w:hint="eastAsia" w:hAnsi="宋体"/>
                <w:color w:val="000000" w:themeColor="text1"/>
                <w:sz w:val="18"/>
                <w:vertAlign w:val="superscript"/>
                <w14:textFill>
                  <w14:solidFill>
                    <w14:schemeClr w14:val="tx1"/>
                  </w14:solidFill>
                </w14:textFill>
              </w:rPr>
              <w:t xml:space="preserve">a </w:t>
            </w:r>
            <w:r>
              <w:rPr>
                <w:rFonts w:hint="eastAsia" w:hAnsi="宋体"/>
                <w:color w:val="000000" w:themeColor="text1"/>
                <w:sz w:val="18"/>
                <w:szCs w:val="18"/>
                <w14:textFill>
                  <w14:solidFill>
                    <w14:schemeClr w14:val="tx1"/>
                  </w14:solidFill>
                </w14:textFill>
              </w:rPr>
              <w:t>对于按</w:t>
            </w:r>
            <w:r>
              <w:rPr>
                <w:rFonts w:hAnsi="宋体"/>
                <w:color w:val="000000" w:themeColor="text1"/>
                <w:sz w:val="18"/>
                <w:szCs w:val="18"/>
                <w14:textFill>
                  <w14:solidFill>
                    <w14:schemeClr w14:val="tx1"/>
                  </w14:solidFill>
                </w14:textFill>
              </w:rPr>
              <w:t>GB/T</w:t>
            </w:r>
            <w:r>
              <w:rPr>
                <w:rFonts w:hint="eastAsia" w:hAnsi="宋体"/>
                <w:color w:val="000000" w:themeColor="text1"/>
                <w:sz w:val="18"/>
                <w:szCs w:val="18"/>
                <w14:textFill>
                  <w14:solidFill>
                    <w14:schemeClr w14:val="tx1"/>
                  </w14:solidFill>
                </w14:textFill>
              </w:rPr>
              <w:t xml:space="preserve"> 19754—2021中65%最大设计装载质量状态进行试验的可外接充电及不可外接充电式混合动力车辆，以其最大设计总质量减去35%最大设计装载质量对应的限值作为该车辆限值。</w:t>
            </w:r>
          </w:p>
          <w:p>
            <w:pPr>
              <w:pStyle w:val="56"/>
              <w:ind w:firstLine="360"/>
              <w:rPr>
                <w:color w:val="000000" w:themeColor="text1"/>
                <w:sz w:val="18"/>
                <w14:textFill>
                  <w14:solidFill>
                    <w14:schemeClr w14:val="tx1"/>
                  </w14:solidFill>
                </w14:textFill>
              </w:rPr>
            </w:pPr>
            <w:r>
              <w:rPr>
                <w:rFonts w:hAnsi="宋体"/>
                <w:color w:val="000000" w:themeColor="text1"/>
                <w:sz w:val="18"/>
                <w:vertAlign w:val="superscript"/>
                <w14:textFill>
                  <w14:solidFill>
                    <w14:schemeClr w14:val="tx1"/>
                  </w14:solidFill>
                </w14:textFill>
              </w:rPr>
              <w:t xml:space="preserve">b </w:t>
            </w:r>
            <w:r>
              <w:rPr>
                <w:rFonts w:hint="eastAsia" w:hAnsi="宋体"/>
                <w:color w:val="000000" w:themeColor="text1"/>
                <w:sz w:val="18"/>
                <w:szCs w:val="18"/>
                <w14:textFill>
                  <w14:solidFill>
                    <w14:schemeClr w14:val="tx1"/>
                  </w14:solidFill>
                </w14:textFill>
              </w:rPr>
              <w:t>对于专用校车，其限值是表中相应限值乘以1.15，求得的数值圆整（四舍五入）至小数点后一位。</w:t>
            </w:r>
          </w:p>
        </w:tc>
      </w:tr>
    </w:tbl>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与限值对应CO</w:t>
      </w:r>
      <w:r>
        <w:rPr>
          <w:rFonts w:hint="eastAsia" w:ascii="宋体" w:hAnsi="宋体" w:eastAsia="宋体"/>
          <w:color w:val="000000" w:themeColor="text1"/>
          <w:vertAlign w:val="subscript"/>
          <w14:textFill>
            <w14:solidFill>
              <w14:schemeClr w14:val="tx1"/>
            </w14:solidFill>
          </w14:textFill>
        </w:rPr>
        <w:t>2</w:t>
      </w:r>
      <w:r>
        <w:rPr>
          <w:rFonts w:hint="eastAsia" w:ascii="宋体" w:hAnsi="宋体" w:eastAsia="宋体"/>
          <w:color w:val="000000" w:themeColor="text1"/>
          <w14:textFill>
            <w14:solidFill>
              <w14:schemeClr w14:val="tx1"/>
            </w14:solidFill>
          </w14:textFill>
        </w:rPr>
        <w:t>排放量的参考值应按公式（1）进行计算，计算结果圆整（四舍五入）至小数点后两位：</w:t>
      </w:r>
    </w:p>
    <w:p>
      <w:pPr>
        <w:pStyle w:val="113"/>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co2</m:t>
            </m:r>
            <m:ctrlPr>
              <w:rPr>
                <w:rFonts w:ascii="Cambria Math" w:hAnsi="Cambria Math"/>
                <w:i/>
                <w:color w:val="000000" w:themeColor="text1"/>
                <w14:textFill>
                  <w14:solidFill>
                    <w14:schemeClr w14:val="tx1"/>
                  </w14:solidFill>
                </w14:textFill>
              </w:rPr>
            </m:ctrlPr>
          </m:sub>
        </m:sSub>
        <m:r>
          <m:rPr/>
          <w:rPr>
            <w:rFonts w:hint="eastAsia"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co2</m:t>
            </m:r>
            <m:ctrlPr>
              <w:rPr>
                <w:rFonts w:ascii="Cambria Math" w:hAnsi="Cambria Math"/>
                <w:i/>
                <w:color w:val="000000" w:themeColor="text1"/>
                <w14:textFill>
                  <w14:solidFill>
                    <w14:schemeClr w14:val="tx1"/>
                  </w14:solidFill>
                </w14:textFill>
              </w:rPr>
            </m:ctrlPr>
          </m:sub>
        </m:sSub>
        <m:r>
          <m:rPr/>
          <w:rPr>
            <w:rFonts w:hint="eastAsia"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FC</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L</m:t>
            </m:r>
            <m:ctrlPr>
              <w:rPr>
                <w:rFonts w:ascii="Cambria Math" w:hAnsi="Cambria Math"/>
                <w:i/>
                <w:color w:val="000000" w:themeColor="text1"/>
                <w14:textFill>
                  <w14:solidFill>
                    <w14:schemeClr w14:val="tx1"/>
                  </w14:solidFill>
                </w14:textFill>
              </w:rPr>
            </m:ctrlPr>
          </m:sub>
        </m:sSub>
        <m:r>
          <m:rPr/>
          <w:rPr>
            <w:rFonts w:hint="eastAsia" w:ascii="Cambria Math" w:hAnsi="Cambria Math"/>
            <w:color w:val="000000" w:themeColor="text1"/>
            <w14:textFill>
              <w14:solidFill>
                <w14:schemeClr w14:val="tx1"/>
              </w14:solidFill>
            </w14:textFill>
          </w:rPr>
          <m:t>/100</m:t>
        </m:r>
      </m:oMath>
      <w:r>
        <w:rPr>
          <w:rFonts w:ascii="微软雅黑" w:hAnsi="微软雅黑" w:eastAsia="微软雅黑"/>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AUTONUM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pPr>
        <w:pStyle w:val="55"/>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pPr>
        <w:pStyle w:val="229"/>
        <w:snapToGrid w:val="0"/>
        <w:spacing w:before="50" w:after="50"/>
        <w:rPr>
          <w:rFonts w:hAnsi="宋体"/>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co2</m:t>
            </m:r>
            <m:ctrlPr>
              <w:rPr>
                <w:rFonts w:ascii="Cambria Math" w:hAnsi="Cambria Math"/>
                <w:i/>
                <w:color w:val="000000" w:themeColor="text1"/>
                <w14:textFill>
                  <w14:solidFill>
                    <w14:schemeClr w14:val="tx1"/>
                  </w14:solidFill>
                </w14:textFill>
              </w:rPr>
            </m:ctrlPr>
          </m:sub>
        </m:sSub>
      </m:oMath>
      <w:r>
        <w:rPr>
          <w:rFonts w:hint="eastAsia" w:hAnsi="宋体"/>
          <w:color w:val="000000" w:themeColor="text1"/>
          <w14:textFill>
            <w14:solidFill>
              <w14:schemeClr w14:val="tx1"/>
            </w14:solidFill>
          </w14:textFill>
        </w:rPr>
        <w:t>——车型燃料消耗量限值对应CO</w:t>
      </w:r>
      <w:r>
        <w:rPr>
          <w:rFonts w:hint="eastAsia" w:hAnsi="宋体"/>
          <w:color w:val="000000" w:themeColor="text1"/>
          <w:vertAlign w:val="subscript"/>
          <w14:textFill>
            <w14:solidFill>
              <w14:schemeClr w14:val="tx1"/>
            </w14:solidFill>
          </w14:textFill>
        </w:rPr>
        <w:t>2</w:t>
      </w:r>
      <w:r>
        <w:rPr>
          <w:rFonts w:hint="eastAsia" w:hAnsi="宋体"/>
          <w:color w:val="000000" w:themeColor="text1"/>
          <w14:textFill>
            <w14:solidFill>
              <w14:schemeClr w14:val="tx1"/>
            </w14:solidFill>
          </w14:textFill>
        </w:rPr>
        <w:t>排放量的参考值，单位为克每千米（</w:t>
      </w:r>
      <w:r>
        <w:rPr>
          <w:rFonts w:hAnsi="宋体"/>
          <w:color w:val="000000" w:themeColor="text1"/>
          <w14:textFill>
            <w14:solidFill>
              <w14:schemeClr w14:val="tx1"/>
            </w14:solidFill>
          </w14:textFill>
        </w:rPr>
        <w:t>g/km</w:t>
      </w:r>
      <w:r>
        <w:rPr>
          <w:rFonts w:hint="eastAsia" w:hAnsi="宋体"/>
          <w:color w:val="000000" w:themeColor="text1"/>
          <w14:textFill>
            <w14:solidFill>
              <w14:schemeClr w14:val="tx1"/>
            </w14:solidFill>
          </w14:textFill>
        </w:rPr>
        <w:t>）；</w:t>
      </w:r>
    </w:p>
    <w:p>
      <w:pPr>
        <w:pStyle w:val="229"/>
        <w:snapToGrid w:val="0"/>
        <w:spacing w:before="50" w:after="50"/>
        <w:rPr>
          <w:rFonts w:hAnsi="宋体"/>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K</m:t>
            </m:r>
            <m:ctrlPr>
              <w:rPr>
                <w:rFonts w:ascii="Cambria Math" w:hAnsi="Cambria Math"/>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co</m:t>
            </m:r>
            <m:r>
              <m:rPr>
                <m:sty m:val="p"/>
              </m:rPr>
              <w:rPr>
                <w:rFonts w:hint="eastAsia"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oMath>
      <w:r>
        <w:rPr>
          <w:rFonts w:hint="eastAsia" w:hAnsi="宋体"/>
          <w:color w:val="000000" w:themeColor="text1"/>
          <w14:textFill>
            <w14:solidFill>
              <w14:schemeClr w14:val="tx1"/>
            </w14:solidFill>
          </w14:textFill>
        </w:rPr>
        <w:t>——转换系数，对于燃用汽油的车型为</w:t>
      </w:r>
      <w:r>
        <w:rPr>
          <w:rFonts w:hAnsi="宋体"/>
          <w:color w:val="000000" w:themeColor="text1"/>
          <w14:textFill>
            <w14:solidFill>
              <w14:schemeClr w14:val="tx1"/>
            </w14:solidFill>
          </w14:textFill>
        </w:rPr>
        <w:t>2.37×</w:t>
      </w:r>
      <w:r>
        <w:rPr>
          <w:rFonts w:hint="eastAsia" w:hAnsi="宋体"/>
          <w:color w:val="000000" w:themeColor="text1"/>
          <w14:textFill>
            <w14:solidFill>
              <w14:schemeClr w14:val="tx1"/>
            </w14:solidFill>
          </w14:textFill>
        </w:rPr>
        <w:t>10</w:t>
      </w:r>
      <w:r>
        <w:rPr>
          <w:rFonts w:hint="eastAsia" w:hAnsi="宋体"/>
          <w:color w:val="000000" w:themeColor="text1"/>
          <w:vertAlign w:val="superscript"/>
          <w14:textFill>
            <w14:solidFill>
              <w14:schemeClr w14:val="tx1"/>
            </w14:solidFill>
          </w14:textFill>
        </w:rPr>
        <w:t>3</w:t>
      </w:r>
      <w:r>
        <w:rPr>
          <w:rFonts w:hint="eastAsia" w:hAnsi="宋体"/>
          <w:color w:val="000000" w:themeColor="text1"/>
          <w14:textFill>
            <w14:solidFill>
              <w14:schemeClr w14:val="tx1"/>
            </w14:solidFill>
          </w14:textFill>
        </w:rPr>
        <w:t>，燃用柴油的车型为</w:t>
      </w:r>
      <w:r>
        <w:rPr>
          <w:rFonts w:hAnsi="宋体"/>
          <w:color w:val="000000" w:themeColor="text1"/>
          <w14:textFill>
            <w14:solidFill>
              <w14:schemeClr w14:val="tx1"/>
            </w14:solidFill>
          </w14:textFill>
        </w:rPr>
        <w:t>2.60×</w:t>
      </w:r>
      <w:r>
        <w:rPr>
          <w:rFonts w:hint="eastAsia" w:hAnsi="宋体"/>
          <w:color w:val="000000" w:themeColor="text1"/>
          <w14:textFill>
            <w14:solidFill>
              <w14:schemeClr w14:val="tx1"/>
            </w14:solidFill>
          </w14:textFill>
        </w:rPr>
        <w:t>10</w:t>
      </w:r>
      <w:r>
        <w:rPr>
          <w:rFonts w:hint="eastAsia" w:hAnsi="宋体"/>
          <w:color w:val="000000" w:themeColor="text1"/>
          <w:vertAlign w:val="superscript"/>
          <w14:textFill>
            <w14:solidFill>
              <w14:schemeClr w14:val="tx1"/>
            </w14:solidFill>
          </w14:textFill>
        </w:rPr>
        <w:t>3</w:t>
      </w:r>
      <w:r>
        <w:rPr>
          <w:rFonts w:hint="eastAsia" w:hAnsi="宋体"/>
          <w:color w:val="000000" w:themeColor="text1"/>
          <w14:textFill>
            <w14:solidFill>
              <w14:schemeClr w14:val="tx1"/>
            </w14:solidFill>
          </w14:textFill>
        </w:rPr>
        <w:t>，单位为克每升（g/</w:t>
      </w:r>
      <w:r>
        <w:rPr>
          <w:rFonts w:hAnsi="宋体"/>
          <w:color w:val="000000" w:themeColor="text1"/>
          <w14:textFill>
            <w14:solidFill>
              <w14:schemeClr w14:val="tx1"/>
            </w14:solidFill>
          </w14:textFill>
        </w:rPr>
        <w:t>L</w:t>
      </w:r>
      <w:r>
        <w:rPr>
          <w:rFonts w:hint="eastAsia" w:hAnsi="宋体"/>
          <w:color w:val="000000" w:themeColor="text1"/>
          <w14:textFill>
            <w14:solidFill>
              <w14:schemeClr w14:val="tx1"/>
            </w14:solidFill>
          </w14:textFill>
        </w:rPr>
        <w:t>）；</w:t>
      </w:r>
    </w:p>
    <w:p>
      <w:pPr>
        <w:pStyle w:val="229"/>
        <w:snapToGrid w:val="0"/>
        <w:spacing w:before="50" w:after="50"/>
        <w:rPr>
          <w:rFonts w:hAnsi="宋体"/>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FC</m:t>
            </m:r>
            <m:ctrlPr>
              <w:rPr>
                <w:rFonts w:ascii="Cambria Math" w:hAnsi="Cambria Math"/>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L</m:t>
            </m:r>
            <m:ctrlPr>
              <w:rPr>
                <w:rFonts w:ascii="Cambria Math" w:hAnsi="Cambria Math"/>
                <w:color w:val="000000" w:themeColor="text1"/>
                <w14:textFill>
                  <w14:solidFill>
                    <w14:schemeClr w14:val="tx1"/>
                  </w14:solidFill>
                </w14:textFill>
              </w:rPr>
            </m:ctrlPr>
          </m:sub>
        </m:sSub>
      </m:oMath>
      <w:r>
        <w:rPr>
          <w:rFonts w:hint="eastAsia" w:hAnsi="宋体"/>
          <w:color w:val="000000" w:themeColor="text1"/>
          <w14:textFill>
            <w14:solidFill>
              <w14:schemeClr w14:val="tx1"/>
            </w14:solidFill>
          </w14:textFill>
        </w:rPr>
        <w:t>——车型燃料消耗量限值,单位为升每百千米（L</w:t>
      </w:r>
      <w:r>
        <w:rPr>
          <w:rFonts w:hAnsi="宋体"/>
          <w:color w:val="000000" w:themeColor="text1"/>
          <w14:textFill>
            <w14:solidFill>
              <w14:schemeClr w14:val="tx1"/>
            </w14:solidFill>
          </w14:textFill>
        </w:rPr>
        <w:t>/100 km</w:t>
      </w:r>
      <w:r>
        <w:rPr>
          <w:rFonts w:hint="eastAsia" w:hAnsi="宋体"/>
          <w:color w:val="000000" w:themeColor="text1"/>
          <w14:textFill>
            <w14:solidFill>
              <w14:schemeClr w14:val="tx1"/>
            </w14:solidFill>
          </w14:textFill>
        </w:rPr>
        <w:t>）。</w:t>
      </w:r>
    </w:p>
    <w:p>
      <w:pPr>
        <w:pStyle w:val="104"/>
        <w:spacing w:before="312" w:after="312"/>
        <w:rPr>
          <w:color w:val="000000" w:themeColor="text1"/>
          <w14:textFill>
            <w14:solidFill>
              <w14:schemeClr w14:val="tx1"/>
            </w14:solidFill>
          </w14:textFill>
        </w:rPr>
      </w:pPr>
      <w:bookmarkStart w:id="78" w:name="_Toc90904730"/>
      <w:bookmarkStart w:id="79" w:name="_Toc100237920"/>
      <w:r>
        <w:rPr>
          <w:rFonts w:hint="eastAsia"/>
          <w:color w:val="000000" w:themeColor="text1"/>
          <w14:textFill>
            <w14:solidFill>
              <w14:schemeClr w14:val="tx1"/>
            </w14:solidFill>
          </w14:textFill>
        </w:rPr>
        <w:t>生产一致性</w:t>
      </w:r>
      <w:bookmarkEnd w:id="74"/>
      <w:bookmarkEnd w:id="75"/>
      <w:bookmarkEnd w:id="76"/>
      <w:bookmarkEnd w:id="77"/>
      <w:bookmarkEnd w:id="78"/>
      <w:bookmarkEnd w:id="79"/>
    </w:p>
    <w:p>
      <w:pPr>
        <w:pStyle w:val="105"/>
        <w:spacing w:before="156" w:after="156"/>
        <w:ind w:left="0"/>
        <w:rPr>
          <w:rFonts w:ascii="宋体" w:hAnsi="宋体" w:eastAsia="宋体"/>
          <w:color w:val="000000" w:themeColor="text1"/>
          <w14:textFill>
            <w14:solidFill>
              <w14:schemeClr w14:val="tx1"/>
            </w14:solidFill>
          </w14:textFill>
        </w:rPr>
      </w:pPr>
      <w:bookmarkStart w:id="80" w:name="_Toc90888461"/>
      <w:bookmarkStart w:id="81" w:name="_Toc90888486"/>
      <w:r>
        <w:rPr>
          <w:rFonts w:hint="eastAsia" w:ascii="宋体" w:hAnsi="宋体" w:eastAsia="宋体"/>
          <w:color w:val="000000" w:themeColor="text1"/>
          <w14:textFill>
            <w14:solidFill>
              <w14:schemeClr w14:val="tx1"/>
            </w14:solidFill>
          </w14:textFill>
        </w:rPr>
        <w:t>车辆燃料消耗量应与已获型式批准车型相一致。</w:t>
      </w:r>
      <w:bookmarkEnd w:id="80"/>
      <w:bookmarkEnd w:id="81"/>
    </w:p>
    <w:p>
      <w:pPr>
        <w:pStyle w:val="105"/>
        <w:spacing w:before="156" w:after="156"/>
        <w:ind w:left="0"/>
        <w:rPr>
          <w:rFonts w:ascii="宋体" w:hAnsi="宋体" w:eastAsia="宋体"/>
          <w:color w:val="000000" w:themeColor="text1"/>
          <w14:textFill>
            <w14:solidFill>
              <w14:schemeClr w14:val="tx1"/>
            </w14:solidFill>
          </w14:textFill>
        </w:rPr>
      </w:pPr>
      <w:bookmarkStart w:id="82" w:name="_Toc304538093"/>
      <w:bookmarkStart w:id="83" w:name="_Toc90888462"/>
      <w:bookmarkStart w:id="84" w:name="_Toc90888487"/>
      <w:r>
        <w:rPr>
          <w:rFonts w:hint="eastAsia" w:ascii="宋体" w:hAnsi="宋体" w:eastAsia="宋体"/>
          <w:color w:val="000000" w:themeColor="text1"/>
          <w14:textFill>
            <w14:solidFill>
              <w14:schemeClr w14:val="tx1"/>
            </w14:solidFill>
          </w14:textFill>
        </w:rPr>
        <w:t>汽油、柴油车辆燃料消耗量生产一致性检查应以</w:t>
      </w:r>
      <w:r>
        <w:rPr>
          <w:rFonts w:ascii="宋体" w:hAnsi="宋体" w:eastAsia="宋体"/>
          <w:color w:val="000000" w:themeColor="text1"/>
          <w14:textFill>
            <w14:solidFill>
              <w14:schemeClr w14:val="tx1"/>
            </w14:solidFill>
          </w14:textFill>
        </w:rPr>
        <w:t>GB/T</w:t>
      </w:r>
      <w:r>
        <w:rPr>
          <w:rFonts w:hint="eastAsia" w:ascii="宋体" w:hAnsi="宋体" w:eastAsia="宋体"/>
          <w:color w:val="000000" w:themeColor="text1"/>
          <w14:textFill>
            <w14:solidFill>
              <w14:schemeClr w14:val="tx1"/>
            </w14:solidFill>
          </w14:textFill>
        </w:rPr>
        <w:t xml:space="preserve"> 27840—2021附录</w:t>
      </w:r>
      <w:r>
        <w:rPr>
          <w:rFonts w:ascii="宋体" w:hAnsi="宋体" w:eastAsia="宋体"/>
          <w:color w:val="000000" w:themeColor="text1"/>
          <w14:textFill>
            <w14:solidFill>
              <w14:schemeClr w14:val="tx1"/>
            </w14:solidFill>
          </w14:textFill>
        </w:rPr>
        <w:t>A</w:t>
      </w:r>
      <w:r>
        <w:rPr>
          <w:rFonts w:hint="eastAsia" w:ascii="宋体" w:hAnsi="宋体" w:eastAsia="宋体"/>
          <w:color w:val="000000" w:themeColor="text1"/>
          <w14:textFill>
            <w14:solidFill>
              <w14:schemeClr w14:val="tx1"/>
            </w14:solidFill>
          </w14:textFill>
        </w:rPr>
        <w:t>或附录B中的内容为基础，按</w:t>
      </w:r>
      <w:r>
        <w:rPr>
          <w:rFonts w:ascii="宋体" w:hAnsi="宋体" w:eastAsia="宋体"/>
          <w:color w:val="000000" w:themeColor="text1"/>
          <w14:textFill>
            <w14:solidFill>
              <w14:schemeClr w14:val="tx1"/>
            </w14:solidFill>
          </w14:textFill>
        </w:rPr>
        <w:t>GB/T</w:t>
      </w:r>
      <w:r>
        <w:rPr>
          <w:rFonts w:hint="eastAsia" w:ascii="宋体" w:hAnsi="宋体" w:eastAsia="宋体"/>
          <w:color w:val="000000" w:themeColor="text1"/>
          <w14:textFill>
            <w14:solidFill>
              <w14:schemeClr w14:val="tx1"/>
            </w14:solidFill>
          </w14:textFill>
        </w:rPr>
        <w:t xml:space="preserve"> 27840—2021进行测定</w:t>
      </w:r>
      <w:bookmarkEnd w:id="82"/>
      <w:r>
        <w:rPr>
          <w:rFonts w:hint="eastAsia" w:ascii="宋体" w:hAnsi="宋体" w:eastAsia="宋体"/>
          <w:color w:val="000000" w:themeColor="text1"/>
          <w14:textFill>
            <w14:solidFill>
              <w14:schemeClr w14:val="tx1"/>
            </w14:solidFill>
          </w14:textFill>
        </w:rPr>
        <w:t>且综合燃料消耗量测定值与型式批准值的偏差不应超过6%。</w:t>
      </w:r>
      <w:bookmarkEnd w:id="83"/>
      <w:bookmarkEnd w:id="84"/>
    </w:p>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可外接充电及不可外接充电式混合动力车辆燃料消耗量生产一致性检查应以</w:t>
      </w:r>
      <w:r>
        <w:rPr>
          <w:rFonts w:ascii="宋体" w:hAnsi="宋体" w:eastAsia="宋体"/>
          <w:color w:val="000000" w:themeColor="text1"/>
          <w14:textFill>
            <w14:solidFill>
              <w14:schemeClr w14:val="tx1"/>
            </w14:solidFill>
          </w14:textFill>
        </w:rPr>
        <w:t>GB/T</w:t>
      </w:r>
      <w:r>
        <w:rPr>
          <w:rFonts w:hint="eastAsia" w:ascii="宋体" w:hAnsi="宋体" w:eastAsia="宋体"/>
          <w:color w:val="000000" w:themeColor="text1"/>
          <w14:textFill>
            <w14:solidFill>
              <w14:schemeClr w14:val="tx1"/>
            </w14:solidFill>
          </w14:textFill>
        </w:rPr>
        <w:t xml:space="preserve"> 19754—2021附录B中的内容为基础，按</w:t>
      </w:r>
      <w:r>
        <w:rPr>
          <w:rFonts w:ascii="宋体" w:hAnsi="宋体" w:eastAsia="宋体"/>
          <w:color w:val="000000" w:themeColor="text1"/>
          <w14:textFill>
            <w14:solidFill>
              <w14:schemeClr w14:val="tx1"/>
            </w14:solidFill>
          </w14:textFill>
        </w:rPr>
        <w:t>GB/T</w:t>
      </w:r>
      <w:r>
        <w:rPr>
          <w:rFonts w:hint="eastAsia" w:ascii="宋体" w:hAnsi="宋体" w:eastAsia="宋体"/>
          <w:color w:val="000000" w:themeColor="text1"/>
          <w14:textFill>
            <w14:solidFill>
              <w14:schemeClr w14:val="tx1"/>
            </w14:solidFill>
          </w14:textFill>
        </w:rPr>
        <w:t xml:space="preserve"> 19754—2021进行测定且综合燃料消耗量测定值与型式批准值的偏差不应超过6%。</w:t>
      </w:r>
    </w:p>
    <w:p>
      <w:pPr>
        <w:pStyle w:val="104"/>
        <w:spacing w:before="312" w:after="312"/>
        <w:rPr>
          <w:color w:val="000000" w:themeColor="text1"/>
          <w14:textFill>
            <w14:solidFill>
              <w14:schemeClr w14:val="tx1"/>
            </w14:solidFill>
          </w14:textFill>
        </w:rPr>
      </w:pPr>
      <w:bookmarkStart w:id="85" w:name="_Toc100237921"/>
      <w:r>
        <w:rPr>
          <w:rFonts w:hint="eastAsia"/>
          <w:color w:val="000000" w:themeColor="text1"/>
          <w14:textFill>
            <w14:solidFill>
              <w14:schemeClr w14:val="tx1"/>
            </w14:solidFill>
          </w14:textFill>
        </w:rPr>
        <w:t>认证扩展</w:t>
      </w:r>
      <w:bookmarkEnd w:id="85"/>
    </w:p>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与已获型式批准车型相比，其更改车型符合下列各项要求时，该车型的燃料消耗量型式批准值适用于更改车型：</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发动机生产企业、排量、点火方式、燃料种类、冷却方式、供油系统及生产企业、进气系统及生产企业、汽缸数目与排列、缸心距、进排气阀数、ECU控制策略及安装方式均相同；</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功率相同或减小不超过25％；</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进气阻力（额定转速、100%负荷）相同或减少；</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排气背压（额定转速、100%负荷）相同或减少；</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由发动机驱动的附件允许吸收的最大功率（额定转速下）相同或减少；</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车辆类型相同，指半挂牵引车、自卸汽车、除自卸汽车外的货车、城市客车、除城市客车外的客车；</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客车车身型式无差别，例如单层/双层，单体式/铰接式等；</w:t>
      </w:r>
    </w:p>
    <w:p>
      <w:pPr>
        <w:pStyle w:val="180"/>
        <w:rPr>
          <w:color w:val="000000" w:themeColor="text1"/>
          <w14:textFill>
            <w14:solidFill>
              <w14:schemeClr w14:val="tx1"/>
            </w14:solidFill>
          </w14:textFill>
        </w:rPr>
      </w:pPr>
      <w:r>
        <w:rPr>
          <w:rFonts w:hint="eastAsia"/>
          <w:color w:val="000000" w:themeColor="text1"/>
          <w14:textFill>
            <w14:solidFill>
              <w14:schemeClr w14:val="tx1"/>
            </w14:solidFill>
          </w14:textFill>
        </w:rPr>
        <w:t>车身型式无差别是指车身的结构、形状和尺寸无明显的差别，但不包括由于选装前后防撞杆、照明灯具、加装/选装顶置空调、车顶行李架、车后行李梯、改变车门、车窗的数量和位置以及改变车门、车窗的开闭方式等引起的车身结构、形状和尺寸变化。</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货车驾驶室型式无差别；</w:t>
      </w:r>
    </w:p>
    <w:p>
      <w:pPr>
        <w:pStyle w:val="180"/>
        <w:rPr>
          <w:color w:val="000000" w:themeColor="text1"/>
          <w14:textFill>
            <w14:solidFill>
              <w14:schemeClr w14:val="tx1"/>
            </w14:solidFill>
          </w14:textFill>
        </w:rPr>
      </w:pPr>
      <w:r>
        <w:rPr>
          <w:rFonts w:hint="eastAsia"/>
          <w:color w:val="000000" w:themeColor="text1"/>
          <w14:textFill>
            <w14:solidFill>
              <w14:schemeClr w14:val="tx1"/>
            </w14:solidFill>
          </w14:textFill>
        </w:rPr>
        <w:t>驾驶室型式无差别是指驾驶室的结构和形状无明显的差别，但不包括由于选装前面罩、前防撞杆、加装/选装导流罩、附加照明和指示灯具所引起的形状和尺寸变化。由普通驾驶室、半高顶驾驶室、高顶驾驶室或由单排驾驶室、排半驾驶室和双排驾驶室构成的系列驾驶室可以认为驾驶室型式无差别。</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迎风面积相同或减小，或增加不超过5%；</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整车宽度和整车高度相同或减小，或增加不超过5%；</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最大设计总质量相同或减少，或在同一质量段内增加不超过5%；</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驱动型式相同；</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变速器型式相同、档位数相同或增加；</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最小总传动比相同或减小，或增加不超过8%；</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轮胎静负荷半径相同或者增大；</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子午胎和斜交胎之间可以视为同一型式。</w:t>
      </w:r>
    </w:p>
    <w:p>
      <w:pPr>
        <w:pStyle w:val="105"/>
        <w:spacing w:before="156" w:after="156"/>
        <w:ind w:left="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采用同一二类底盘或整车改装形成的普通货车、厢式车、仓栅车、罐式车、畜禽、邮政、低平板、随车起重运输车、环卫车等专用汽车，当以迎风面积最大车型作为基础车型时，其他专用汽车可以与其视为同一型式。</w:t>
      </w:r>
    </w:p>
    <w:p>
      <w:pPr>
        <w:pStyle w:val="104"/>
        <w:spacing w:before="312" w:after="312"/>
      </w:pPr>
      <w:bookmarkStart w:id="86" w:name="_Toc90888463"/>
      <w:bookmarkStart w:id="87" w:name="_Toc90904731"/>
      <w:bookmarkStart w:id="88" w:name="_Toc90888488"/>
      <w:bookmarkStart w:id="89" w:name="_Toc100237922"/>
      <w:r>
        <w:rPr>
          <w:rFonts w:hint="eastAsia"/>
        </w:rPr>
        <w:t>实施日期</w:t>
      </w:r>
      <w:bookmarkEnd w:id="86"/>
      <w:bookmarkEnd w:id="87"/>
      <w:bookmarkEnd w:id="88"/>
      <w:bookmarkEnd w:id="89"/>
    </w:p>
    <w:p>
      <w:pPr>
        <w:pStyle w:val="229"/>
        <w:rPr>
          <w:rFonts w:hAnsi="宋体"/>
        </w:rPr>
      </w:pPr>
      <w:r>
        <w:rPr>
          <w:rFonts w:hint="eastAsia" w:hAnsi="宋体"/>
        </w:rPr>
        <w:t>对于新申请型式批准的车型，自2024年7月1日起实施；</w:t>
      </w:r>
    </w:p>
    <w:p>
      <w:pPr>
        <w:pStyle w:val="229"/>
        <w:rPr>
          <w:rFonts w:hAnsi="宋体"/>
        </w:rPr>
      </w:pPr>
      <w:r>
        <w:rPr>
          <w:rFonts w:hint="eastAsia" w:hAnsi="宋体"/>
        </w:rPr>
        <w:t>对于已获得型式批准的车型，自2026年7月1日</w:t>
      </w:r>
      <w:bookmarkStart w:id="91" w:name="_GoBack"/>
      <w:bookmarkEnd w:id="91"/>
      <w:r>
        <w:rPr>
          <w:rFonts w:hint="eastAsia" w:hAnsi="宋体"/>
        </w:rPr>
        <w:t>起实施。</w:t>
      </w:r>
    </w:p>
    <w:p>
      <w:pPr>
        <w:pStyle w:val="229"/>
        <w:rPr>
          <w:rFonts w:hAnsi="宋体"/>
        </w:rPr>
      </w:pPr>
    </w:p>
    <w:p>
      <w:pPr>
        <w:pStyle w:val="229"/>
      </w:pPr>
    </w:p>
    <w:bookmarkEnd w:id="25"/>
    <w:p>
      <w:pPr>
        <w:pStyle w:val="56"/>
        <w:ind w:firstLine="0" w:firstLineChars="0"/>
        <w:jc w:val="center"/>
      </w:pPr>
      <w:bookmarkStart w:id="90"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after="0"/>
    </w:pPr>
    <w:r>
      <w:fldChar w:fldCharType="begin"/>
    </w:r>
    <w:r>
      <w:instrText xml:space="preserve"> STYLEREF  标准文件_文件编号  \* MERGEFORMAT </w:instrText>
    </w:r>
    <w:r>
      <w:fldChar w:fldCharType="separate"/>
    </w:r>
    <w:r>
      <w:t>GB 30510—XXXX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GB 30510—XXXX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pStyle w:val="237"/>
      <w:suff w:val="nothing"/>
      <w:lvlText w:val="%1.%2.%3.%4　"/>
      <w:lvlJc w:val="left"/>
      <w:pPr>
        <w:ind w:left="0" w:firstLine="0"/>
      </w:pPr>
      <w:rPr>
        <w:rFonts w:hint="eastAsia" w:ascii="黑体" w:hAnsi="Times New Roman" w:eastAsia="黑体"/>
        <w:b w:val="0"/>
        <w:i w:val="0"/>
        <w:sz w:val="21"/>
      </w:rPr>
    </w:lvl>
    <w:lvl w:ilvl="4" w:tentative="0">
      <w:start w:val="1"/>
      <w:numFmt w:val="decimal"/>
      <w:pStyle w:val="238"/>
      <w:suff w:val="nothing"/>
      <w:lvlText w:val="%1.%2.%3.%4.%5　"/>
      <w:lvlJc w:val="left"/>
      <w:pPr>
        <w:ind w:left="0" w:firstLine="0"/>
      </w:pPr>
      <w:rPr>
        <w:rFonts w:hint="eastAsia" w:ascii="黑体" w:hAnsi="Times New Roman" w:eastAsia="黑体"/>
        <w:b w:val="0"/>
        <w:i w:val="0"/>
        <w:sz w:val="21"/>
      </w:rPr>
    </w:lvl>
    <w:lvl w:ilvl="5" w:tentative="0">
      <w:start w:val="1"/>
      <w:numFmt w:val="decimal"/>
      <w:pStyle w:val="2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4"/>
  </w:num>
  <w:num w:numId="4">
    <w:abstractNumId w:val="23"/>
  </w:num>
  <w:num w:numId="5">
    <w:abstractNumId w:val="18"/>
  </w:num>
  <w:num w:numId="6">
    <w:abstractNumId w:val="13"/>
  </w:num>
  <w:num w:numId="7">
    <w:abstractNumId w:val="7"/>
  </w:num>
  <w:num w:numId="8">
    <w:abstractNumId w:val="2"/>
  </w:num>
  <w:num w:numId="9">
    <w:abstractNumId w:val="8"/>
  </w:num>
  <w:num w:numId="10">
    <w:abstractNumId w:val="16"/>
  </w:num>
  <w:num w:numId="11">
    <w:abstractNumId w:val="25"/>
  </w:num>
  <w:num w:numId="12">
    <w:abstractNumId w:val="11"/>
  </w:num>
  <w:num w:numId="13">
    <w:abstractNumId w:val="12"/>
  </w:num>
  <w:num w:numId="14">
    <w:abstractNumId w:val="6"/>
  </w:num>
  <w:num w:numId="15">
    <w:abstractNumId w:val="19"/>
  </w:num>
  <w:num w:numId="16">
    <w:abstractNumId w:val="21"/>
  </w:num>
  <w:num w:numId="17">
    <w:abstractNumId w:val="17"/>
  </w:num>
  <w:num w:numId="18">
    <w:abstractNumId w:val="29"/>
  </w:num>
  <w:num w:numId="19">
    <w:abstractNumId w:val="15"/>
  </w:num>
  <w:num w:numId="20">
    <w:abstractNumId w:val="10"/>
  </w:num>
  <w:num w:numId="21">
    <w:abstractNumId w:val="30"/>
  </w:num>
  <w:num w:numId="22">
    <w:abstractNumId w:val="20"/>
  </w:num>
  <w:num w:numId="23">
    <w:abstractNumId w:val="5"/>
  </w:num>
  <w:num w:numId="24">
    <w:abstractNumId w:val="26"/>
  </w:num>
  <w:num w:numId="25">
    <w:abstractNumId w:val="28"/>
  </w:num>
  <w:num w:numId="26">
    <w:abstractNumId w:val="1"/>
  </w:num>
  <w:num w:numId="27">
    <w:abstractNumId w:val="3"/>
  </w:num>
  <w:num w:numId="28">
    <w:abstractNumId w:val="14"/>
  </w:num>
  <w:num w:numId="29">
    <w:abstractNumId w:val="24"/>
  </w:num>
  <w:num w:numId="30">
    <w:abstractNumId w:val="22"/>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dFPNTtrvD+m5oJNzt+zGrhyFo/VlqXCDHWbc5CH8qk25hCh/u1+q4oxeQAcnohFWErE/nhNvE9qfPLaBUuPt/Q==" w:salt="hlXaZn1JdJJdBDocbY1N8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3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2C7"/>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18B1"/>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751F"/>
    <w:rsid w:val="001B06E8"/>
    <w:rsid w:val="001B71D0"/>
    <w:rsid w:val="001B71EE"/>
    <w:rsid w:val="001C04A8"/>
    <w:rsid w:val="001C1BB1"/>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C20"/>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A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3FD"/>
    <w:rsid w:val="002E4D5A"/>
    <w:rsid w:val="002E6326"/>
    <w:rsid w:val="002F30E0"/>
    <w:rsid w:val="002F35E4"/>
    <w:rsid w:val="002F3730"/>
    <w:rsid w:val="002F38E1"/>
    <w:rsid w:val="002F7AF6"/>
    <w:rsid w:val="00300E63"/>
    <w:rsid w:val="00302F5F"/>
    <w:rsid w:val="0030441D"/>
    <w:rsid w:val="00306063"/>
    <w:rsid w:val="00313B85"/>
    <w:rsid w:val="00314BDF"/>
    <w:rsid w:val="00315FA8"/>
    <w:rsid w:val="00317988"/>
    <w:rsid w:val="003221B4"/>
    <w:rsid w:val="00322E62"/>
    <w:rsid w:val="00324EDD"/>
    <w:rsid w:val="00336C64"/>
    <w:rsid w:val="00337162"/>
    <w:rsid w:val="00340A25"/>
    <w:rsid w:val="0034194F"/>
    <w:rsid w:val="00344605"/>
    <w:rsid w:val="003474AA"/>
    <w:rsid w:val="00350D1D"/>
    <w:rsid w:val="00352C83"/>
    <w:rsid w:val="003615D2"/>
    <w:rsid w:val="0036429C"/>
    <w:rsid w:val="00364A53"/>
    <w:rsid w:val="003654CB"/>
    <w:rsid w:val="00365F86"/>
    <w:rsid w:val="00365F87"/>
    <w:rsid w:val="003670FC"/>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4C8D"/>
    <w:rsid w:val="003B09AD"/>
    <w:rsid w:val="003B1F18"/>
    <w:rsid w:val="003B5BF0"/>
    <w:rsid w:val="003B60BF"/>
    <w:rsid w:val="003B6BE3"/>
    <w:rsid w:val="003C010C"/>
    <w:rsid w:val="003C0A6C"/>
    <w:rsid w:val="003C5A43"/>
    <w:rsid w:val="003D0519"/>
    <w:rsid w:val="003D0FF6"/>
    <w:rsid w:val="003D262C"/>
    <w:rsid w:val="003D6D61"/>
    <w:rsid w:val="003E091D"/>
    <w:rsid w:val="003E1129"/>
    <w:rsid w:val="003E1C53"/>
    <w:rsid w:val="003E2A69"/>
    <w:rsid w:val="003E2D49"/>
    <w:rsid w:val="003E2FD4"/>
    <w:rsid w:val="003E49F6"/>
    <w:rsid w:val="003F0841"/>
    <w:rsid w:val="003F23D3"/>
    <w:rsid w:val="003F2B5A"/>
    <w:rsid w:val="003F3F08"/>
    <w:rsid w:val="003F49F1"/>
    <w:rsid w:val="003F6272"/>
    <w:rsid w:val="00400E72"/>
    <w:rsid w:val="00401400"/>
    <w:rsid w:val="00404869"/>
    <w:rsid w:val="00405884"/>
    <w:rsid w:val="00407D39"/>
    <w:rsid w:val="0041477A"/>
    <w:rsid w:val="004167A3"/>
    <w:rsid w:val="0042454B"/>
    <w:rsid w:val="00432DAA"/>
    <w:rsid w:val="00433285"/>
    <w:rsid w:val="00434305"/>
    <w:rsid w:val="004347D3"/>
    <w:rsid w:val="00435DF7"/>
    <w:rsid w:val="0044083F"/>
    <w:rsid w:val="00441AE7"/>
    <w:rsid w:val="00445574"/>
    <w:rsid w:val="004467FB"/>
    <w:rsid w:val="00452D6B"/>
    <w:rsid w:val="00454484"/>
    <w:rsid w:val="0045517B"/>
    <w:rsid w:val="0046228C"/>
    <w:rsid w:val="00463B77"/>
    <w:rsid w:val="00463C7B"/>
    <w:rsid w:val="004644A6"/>
    <w:rsid w:val="004659BD"/>
    <w:rsid w:val="00470775"/>
    <w:rsid w:val="004746B1"/>
    <w:rsid w:val="0047583F"/>
    <w:rsid w:val="00484936"/>
    <w:rsid w:val="00485C89"/>
    <w:rsid w:val="00486BE3"/>
    <w:rsid w:val="004905E4"/>
    <w:rsid w:val="00490A89"/>
    <w:rsid w:val="00490AB4"/>
    <w:rsid w:val="0049158B"/>
    <w:rsid w:val="00492F02"/>
    <w:rsid w:val="004939AE"/>
    <w:rsid w:val="004A12DF"/>
    <w:rsid w:val="004A1BA8"/>
    <w:rsid w:val="004A4B57"/>
    <w:rsid w:val="004A63FA"/>
    <w:rsid w:val="004A6F6E"/>
    <w:rsid w:val="004B2701"/>
    <w:rsid w:val="004B2E1B"/>
    <w:rsid w:val="004B3E93"/>
    <w:rsid w:val="004B6D7E"/>
    <w:rsid w:val="004C12EA"/>
    <w:rsid w:val="004C1FBC"/>
    <w:rsid w:val="004C3E5C"/>
    <w:rsid w:val="004C3F1D"/>
    <w:rsid w:val="004C458D"/>
    <w:rsid w:val="004C7556"/>
    <w:rsid w:val="004C7E9D"/>
    <w:rsid w:val="004C7F67"/>
    <w:rsid w:val="004D076D"/>
    <w:rsid w:val="004D0EF1"/>
    <w:rsid w:val="004D2253"/>
    <w:rsid w:val="004D4406"/>
    <w:rsid w:val="004D7C42"/>
    <w:rsid w:val="004E0465"/>
    <w:rsid w:val="004E0CBD"/>
    <w:rsid w:val="004E127B"/>
    <w:rsid w:val="004E1C0A"/>
    <w:rsid w:val="004E30C5"/>
    <w:rsid w:val="004E4AA5"/>
    <w:rsid w:val="004E4AEE"/>
    <w:rsid w:val="004E59E3"/>
    <w:rsid w:val="004E67C0"/>
    <w:rsid w:val="004F25D7"/>
    <w:rsid w:val="004F391A"/>
    <w:rsid w:val="004F3CFB"/>
    <w:rsid w:val="004F6456"/>
    <w:rsid w:val="004F696E"/>
    <w:rsid w:val="004F6C71"/>
    <w:rsid w:val="00501139"/>
    <w:rsid w:val="0050363E"/>
    <w:rsid w:val="005039BC"/>
    <w:rsid w:val="005043BB"/>
    <w:rsid w:val="00504A3D"/>
    <w:rsid w:val="00505767"/>
    <w:rsid w:val="005073F0"/>
    <w:rsid w:val="005075A1"/>
    <w:rsid w:val="00510A7B"/>
    <w:rsid w:val="00512F6E"/>
    <w:rsid w:val="00513038"/>
    <w:rsid w:val="00514174"/>
    <w:rsid w:val="00514DF9"/>
    <w:rsid w:val="00516088"/>
    <w:rsid w:val="00516B0B"/>
    <w:rsid w:val="0052174B"/>
    <w:rsid w:val="005220EC"/>
    <w:rsid w:val="00523F95"/>
    <w:rsid w:val="00524D65"/>
    <w:rsid w:val="00525B16"/>
    <w:rsid w:val="00533D04"/>
    <w:rsid w:val="00534804"/>
    <w:rsid w:val="00534A35"/>
    <w:rsid w:val="00534BDF"/>
    <w:rsid w:val="005354EA"/>
    <w:rsid w:val="00535EC4"/>
    <w:rsid w:val="00535ED9"/>
    <w:rsid w:val="0053692B"/>
    <w:rsid w:val="00541853"/>
    <w:rsid w:val="00543BDA"/>
    <w:rsid w:val="005441CC"/>
    <w:rsid w:val="005479DA"/>
    <w:rsid w:val="00547BCC"/>
    <w:rsid w:val="0055013B"/>
    <w:rsid w:val="0055142C"/>
    <w:rsid w:val="00551F6F"/>
    <w:rsid w:val="00553DF5"/>
    <w:rsid w:val="00554D99"/>
    <w:rsid w:val="00555044"/>
    <w:rsid w:val="00561475"/>
    <w:rsid w:val="00562DB4"/>
    <w:rsid w:val="00564446"/>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F0A"/>
    <w:rsid w:val="005E7881"/>
    <w:rsid w:val="005E78E0"/>
    <w:rsid w:val="005F0D9C"/>
    <w:rsid w:val="005F284E"/>
    <w:rsid w:val="006002B2"/>
    <w:rsid w:val="006015CE"/>
    <w:rsid w:val="00604784"/>
    <w:rsid w:val="0060628F"/>
    <w:rsid w:val="00606419"/>
    <w:rsid w:val="00607D29"/>
    <w:rsid w:val="00612952"/>
    <w:rsid w:val="00614CC1"/>
    <w:rsid w:val="00615A9D"/>
    <w:rsid w:val="006162BE"/>
    <w:rsid w:val="00616BBB"/>
    <w:rsid w:val="00617387"/>
    <w:rsid w:val="00622ACE"/>
    <w:rsid w:val="00623A8C"/>
    <w:rsid w:val="006252D8"/>
    <w:rsid w:val="006259BC"/>
    <w:rsid w:val="0062636B"/>
    <w:rsid w:val="00626922"/>
    <w:rsid w:val="0062711E"/>
    <w:rsid w:val="00632182"/>
    <w:rsid w:val="00632AE0"/>
    <w:rsid w:val="00633C17"/>
    <w:rsid w:val="00636E3E"/>
    <w:rsid w:val="006379F7"/>
    <w:rsid w:val="00637E4D"/>
    <w:rsid w:val="00640551"/>
    <w:rsid w:val="00640620"/>
    <w:rsid w:val="00641A1F"/>
    <w:rsid w:val="00645904"/>
    <w:rsid w:val="006460F2"/>
    <w:rsid w:val="00651ACB"/>
    <w:rsid w:val="00651C47"/>
    <w:rsid w:val="00652AB2"/>
    <w:rsid w:val="00654EC0"/>
    <w:rsid w:val="0065525B"/>
    <w:rsid w:val="006552AF"/>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429"/>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CB"/>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437"/>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3A9F"/>
    <w:rsid w:val="00754093"/>
    <w:rsid w:val="00755402"/>
    <w:rsid w:val="00756B26"/>
    <w:rsid w:val="00756EDF"/>
    <w:rsid w:val="007609A2"/>
    <w:rsid w:val="007609AA"/>
    <w:rsid w:val="00765C43"/>
    <w:rsid w:val="00765EFB"/>
    <w:rsid w:val="007671CA"/>
    <w:rsid w:val="00767C61"/>
    <w:rsid w:val="0077008A"/>
    <w:rsid w:val="00773C1F"/>
    <w:rsid w:val="00774DA4"/>
    <w:rsid w:val="00776599"/>
    <w:rsid w:val="0078114B"/>
    <w:rsid w:val="00781DD2"/>
    <w:rsid w:val="00783ECF"/>
    <w:rsid w:val="0078413A"/>
    <w:rsid w:val="00790CA3"/>
    <w:rsid w:val="007959E8"/>
    <w:rsid w:val="00795E9C"/>
    <w:rsid w:val="007A0521"/>
    <w:rsid w:val="007A061E"/>
    <w:rsid w:val="007A2E12"/>
    <w:rsid w:val="007A3475"/>
    <w:rsid w:val="007A41C8"/>
    <w:rsid w:val="007A54CE"/>
    <w:rsid w:val="007A7FFA"/>
    <w:rsid w:val="007B04EB"/>
    <w:rsid w:val="007B0D4F"/>
    <w:rsid w:val="007B361A"/>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467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699"/>
    <w:rsid w:val="008209E6"/>
    <w:rsid w:val="00823303"/>
    <w:rsid w:val="008233B2"/>
    <w:rsid w:val="00823A9F"/>
    <w:rsid w:val="00823C85"/>
    <w:rsid w:val="00825138"/>
    <w:rsid w:val="008269DD"/>
    <w:rsid w:val="00830621"/>
    <w:rsid w:val="0083348C"/>
    <w:rsid w:val="00835F1F"/>
    <w:rsid w:val="008373D3"/>
    <w:rsid w:val="00840617"/>
    <w:rsid w:val="00842A47"/>
    <w:rsid w:val="00843C13"/>
    <w:rsid w:val="008454F8"/>
    <w:rsid w:val="00851342"/>
    <w:rsid w:val="0085173A"/>
    <w:rsid w:val="008564C2"/>
    <w:rsid w:val="008603CE"/>
    <w:rsid w:val="008620FC"/>
    <w:rsid w:val="008627A5"/>
    <w:rsid w:val="00863E05"/>
    <w:rsid w:val="00865ACA"/>
    <w:rsid w:val="00865D28"/>
    <w:rsid w:val="00865F85"/>
    <w:rsid w:val="00867C10"/>
    <w:rsid w:val="00870439"/>
    <w:rsid w:val="00870DA1"/>
    <w:rsid w:val="008754F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600"/>
    <w:rsid w:val="008C475E"/>
    <w:rsid w:val="008C619A"/>
    <w:rsid w:val="008D0CE8"/>
    <w:rsid w:val="008D106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13"/>
    <w:rsid w:val="008F4C29"/>
    <w:rsid w:val="008F5093"/>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22D4"/>
    <w:rsid w:val="009245F5"/>
    <w:rsid w:val="009249EC"/>
    <w:rsid w:val="009266D4"/>
    <w:rsid w:val="009273B3"/>
    <w:rsid w:val="009305B5"/>
    <w:rsid w:val="00934C12"/>
    <w:rsid w:val="009429D5"/>
    <w:rsid w:val="00942BF1"/>
    <w:rsid w:val="00945180"/>
    <w:rsid w:val="00945428"/>
    <w:rsid w:val="0094607B"/>
    <w:rsid w:val="00952C52"/>
    <w:rsid w:val="00953604"/>
    <w:rsid w:val="009545AE"/>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0DE"/>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0EA6"/>
    <w:rsid w:val="00A01757"/>
    <w:rsid w:val="00A026A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0F8B"/>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3F85"/>
    <w:rsid w:val="00AF0C18"/>
    <w:rsid w:val="00AF47C5"/>
    <w:rsid w:val="00AF5398"/>
    <w:rsid w:val="00B03810"/>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38BF"/>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97FEA"/>
    <w:rsid w:val="00BA263B"/>
    <w:rsid w:val="00BA42B2"/>
    <w:rsid w:val="00BA58D4"/>
    <w:rsid w:val="00BA5B9E"/>
    <w:rsid w:val="00BA7C9A"/>
    <w:rsid w:val="00BB1FAD"/>
    <w:rsid w:val="00BB5F8F"/>
    <w:rsid w:val="00BB657A"/>
    <w:rsid w:val="00BB6BF0"/>
    <w:rsid w:val="00BC1A4E"/>
    <w:rsid w:val="00BC3BB9"/>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6F1F"/>
    <w:rsid w:val="00BF74A6"/>
    <w:rsid w:val="00C013AD"/>
    <w:rsid w:val="00C016B3"/>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3635"/>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0B53"/>
    <w:rsid w:val="00D0321C"/>
    <w:rsid w:val="00D035EC"/>
    <w:rsid w:val="00D06AB1"/>
    <w:rsid w:val="00D072ED"/>
    <w:rsid w:val="00D07A16"/>
    <w:rsid w:val="00D1067E"/>
    <w:rsid w:val="00D10F50"/>
    <w:rsid w:val="00D11272"/>
    <w:rsid w:val="00D126F5"/>
    <w:rsid w:val="00D1489E"/>
    <w:rsid w:val="00D20737"/>
    <w:rsid w:val="00D21E81"/>
    <w:rsid w:val="00D223DE"/>
    <w:rsid w:val="00D22EB8"/>
    <w:rsid w:val="00D25E37"/>
    <w:rsid w:val="00D2661A"/>
    <w:rsid w:val="00D27582"/>
    <w:rsid w:val="00D32719"/>
    <w:rsid w:val="00D33333"/>
    <w:rsid w:val="00D33E89"/>
    <w:rsid w:val="00D352A2"/>
    <w:rsid w:val="00D35621"/>
    <w:rsid w:val="00D40A83"/>
    <w:rsid w:val="00D4162B"/>
    <w:rsid w:val="00D4514F"/>
    <w:rsid w:val="00D451E2"/>
    <w:rsid w:val="00D4545E"/>
    <w:rsid w:val="00D45E89"/>
    <w:rsid w:val="00D45E8D"/>
    <w:rsid w:val="00D466AE"/>
    <w:rsid w:val="00D4734F"/>
    <w:rsid w:val="00D50C85"/>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1757C"/>
    <w:rsid w:val="00E202EF"/>
    <w:rsid w:val="00E2095A"/>
    <w:rsid w:val="00E210B5"/>
    <w:rsid w:val="00E2166E"/>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4969"/>
    <w:rsid w:val="00E664CC"/>
    <w:rsid w:val="00E70388"/>
    <w:rsid w:val="00E70F92"/>
    <w:rsid w:val="00E730E1"/>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C05"/>
    <w:rsid w:val="00EA58D1"/>
    <w:rsid w:val="00EA61BC"/>
    <w:rsid w:val="00EA681A"/>
    <w:rsid w:val="00EA735B"/>
    <w:rsid w:val="00EB1E69"/>
    <w:rsid w:val="00EB2086"/>
    <w:rsid w:val="00EB21FB"/>
    <w:rsid w:val="00EB5EDF"/>
    <w:rsid w:val="00EB60FE"/>
    <w:rsid w:val="00EB6CF3"/>
    <w:rsid w:val="00EB74DB"/>
    <w:rsid w:val="00EC5359"/>
    <w:rsid w:val="00EC562A"/>
    <w:rsid w:val="00ED067A"/>
    <w:rsid w:val="00ED2B50"/>
    <w:rsid w:val="00ED409E"/>
    <w:rsid w:val="00EE0350"/>
    <w:rsid w:val="00EE0719"/>
    <w:rsid w:val="00EE0E80"/>
    <w:rsid w:val="00EE1EF7"/>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0D49"/>
    <w:rsid w:val="00F25BB6"/>
    <w:rsid w:val="00F26B7E"/>
    <w:rsid w:val="00F27A3B"/>
    <w:rsid w:val="00F33817"/>
    <w:rsid w:val="00F420D5"/>
    <w:rsid w:val="00F451EA"/>
    <w:rsid w:val="00F45447"/>
    <w:rsid w:val="00F456C6"/>
    <w:rsid w:val="00F4577B"/>
    <w:rsid w:val="00F46496"/>
    <w:rsid w:val="00F474D0"/>
    <w:rsid w:val="00F47D15"/>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4B8"/>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25CB1A12"/>
    <w:rsid w:val="284E7969"/>
    <w:rsid w:val="2CB010D0"/>
    <w:rsid w:val="40F75766"/>
    <w:rsid w:val="79902846"/>
    <w:rsid w:val="7F252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pPr>
      <w:tabs>
        <w:tab w:val="right" w:leader="dot" w:pos="9344"/>
      </w:tabs>
      <w:jc w:val="left"/>
    </w:pPr>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0"/>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adjustRightInd/>
    </w:pPr>
    <w:rPr>
      <w:szCs w:val="24"/>
    </w:rPr>
  </w:style>
  <w:style w:type="paragraph" w:customStyle="1" w:styleId="159">
    <w:name w:val="一级无标题条"/>
    <w:basedOn w:val="1"/>
    <w:qFormat/>
    <w:uiPriority w:val="0"/>
    <w:p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2"/>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3"/>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0"/>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4"/>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0"/>
      </w:numPr>
      <w:ind w:left="1271" w:hanging="420" w:firstLineChars="0"/>
    </w:pPr>
  </w:style>
  <w:style w:type="paragraph" w:customStyle="1" w:styleId="188">
    <w:name w:val="标准文件_三级项2"/>
    <w:basedOn w:val="56"/>
    <w:qFormat/>
    <w:uiPriority w:val="0"/>
    <w:pPr>
      <w:numPr>
        <w:ilvl w:val="0"/>
        <w:numId w:val="29"/>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0"/>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0">
    <w:name w:val="段 Char"/>
    <w:link w:val="229"/>
    <w:qFormat/>
    <w:uiPriority w:val="0"/>
    <w:rPr>
      <w:rFonts w:ascii="宋体" w:hAnsi="Times New Roman"/>
      <w:sz w:val="21"/>
    </w:rPr>
  </w:style>
  <w:style w:type="paragraph" w:customStyle="1" w:styleId="231">
    <w:name w:val="注："/>
    <w:next w:val="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32">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33">
    <w:name w:val="正文图标题"/>
    <w:next w:val="1"/>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4">
    <w:name w:val="一级条标题"/>
    <w:next w:val="229"/>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229"/>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29"/>
    <w:qFormat/>
    <w:uiPriority w:val="0"/>
    <w:pPr>
      <w:numPr>
        <w:ilvl w:val="2"/>
      </w:numPr>
      <w:spacing w:before="50" w:after="50"/>
      <w:outlineLvl w:val="3"/>
    </w:pPr>
  </w:style>
  <w:style w:type="paragraph" w:customStyle="1" w:styleId="237">
    <w:name w:val="三级条标题"/>
    <w:basedOn w:val="236"/>
    <w:next w:val="229"/>
    <w:qFormat/>
    <w:uiPriority w:val="0"/>
    <w:pPr>
      <w:numPr>
        <w:ilvl w:val="3"/>
      </w:numPr>
      <w:outlineLvl w:val="4"/>
    </w:pPr>
  </w:style>
  <w:style w:type="paragraph" w:customStyle="1" w:styleId="238">
    <w:name w:val="四级条标题"/>
    <w:basedOn w:val="237"/>
    <w:next w:val="229"/>
    <w:qFormat/>
    <w:uiPriority w:val="0"/>
    <w:pPr>
      <w:numPr>
        <w:ilvl w:val="4"/>
      </w:numPr>
      <w:outlineLvl w:val="5"/>
    </w:pPr>
  </w:style>
  <w:style w:type="paragraph" w:customStyle="1" w:styleId="239">
    <w:name w:val="五级条标题"/>
    <w:basedOn w:val="238"/>
    <w:next w:val="229"/>
    <w:qFormat/>
    <w:uiPriority w:val="0"/>
    <w:pPr>
      <w:numPr>
        <w:ilvl w:val="5"/>
      </w:numPr>
      <w:outlineLvl w:val="6"/>
    </w:pPr>
  </w:style>
  <w:style w:type="paragraph" w:customStyle="1" w:styleId="240">
    <w:name w:val="MTDisplayEquation"/>
    <w:basedOn w:val="229"/>
    <w:next w:val="1"/>
    <w:qFormat/>
    <w:uiPriority w:val="0"/>
    <w:pPr>
      <w:tabs>
        <w:tab w:val="clear" w:pos="4201"/>
        <w:tab w:val="clear" w:pos="9298"/>
      </w:tabs>
    </w:pPr>
    <w:rPr>
      <w:rFonts w:hAnsi="宋体"/>
      <w:szCs w:val="21"/>
    </w:r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31994EDF114438C94F39EBDB63DC8AC"/>
        <w:style w:val=""/>
        <w:category>
          <w:name w:val="常规"/>
          <w:gallery w:val="placeholder"/>
        </w:category>
        <w:types>
          <w:type w:val="bbPlcHdr"/>
        </w:types>
        <w:behaviors>
          <w:behavior w:val="content"/>
        </w:behaviors>
        <w:description w:val=""/>
        <w:guid w:val="{A34FA29B-1DB6-4F71-B739-FFD071617A97}"/>
      </w:docPartPr>
      <w:docPartBody>
        <w:p>
          <w:pPr>
            <w:pStyle w:val="5"/>
          </w:pPr>
          <w:r>
            <w:rPr>
              <w:rStyle w:val="4"/>
              <w:rFonts w:hint="eastAsia"/>
            </w:rPr>
            <w:t>单击或点击此处输入文字。</w:t>
          </w:r>
        </w:p>
      </w:docPartBody>
    </w:docPart>
    <w:docPart>
      <w:docPartPr>
        <w:name w:val="DA5D68BDF4C840D7950627CB5C4B355C"/>
        <w:style w:val=""/>
        <w:category>
          <w:name w:val="常规"/>
          <w:gallery w:val="placeholder"/>
        </w:category>
        <w:types>
          <w:type w:val="bbPlcHdr"/>
        </w:types>
        <w:behaviors>
          <w:behavior w:val="content"/>
        </w:behaviors>
        <w:description w:val=""/>
        <w:guid w:val="{907AE909-4B98-48CD-832F-4BFAEA744E7D}"/>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C0"/>
    <w:rsid w:val="00123EE8"/>
    <w:rsid w:val="001273EC"/>
    <w:rsid w:val="002433CB"/>
    <w:rsid w:val="002C52C0"/>
    <w:rsid w:val="0030293E"/>
    <w:rsid w:val="003E62C1"/>
    <w:rsid w:val="00435D24"/>
    <w:rsid w:val="00503ED4"/>
    <w:rsid w:val="00552CFF"/>
    <w:rsid w:val="005674E2"/>
    <w:rsid w:val="005B69FE"/>
    <w:rsid w:val="006405D2"/>
    <w:rsid w:val="00717C63"/>
    <w:rsid w:val="00AC3986"/>
    <w:rsid w:val="00B4743B"/>
    <w:rsid w:val="00B51DE5"/>
    <w:rsid w:val="00D513B0"/>
    <w:rsid w:val="00ED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31994EDF114438C94F39EBDB63DC8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5D68BDF4C840D7950627CB5C4B355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9BA2D-66B5-4977-ADF2-A2274953CB41}">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Pages>
  <Words>835</Words>
  <Characters>4762</Characters>
  <Lines>39</Lines>
  <Paragraphs>11</Paragraphs>
  <TotalTime>231</TotalTime>
  <ScaleCrop>false</ScaleCrop>
  <LinksUpToDate>false</LinksUpToDate>
  <CharactersWithSpaces>5586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2022-02-08T01:29:00Z</dcterms:created>
  <dc:creator>柳邵辉</dc:creator>
  <dc:description>&lt;config cover="true" show_menu="true" version="1.0.0" doctype="SDKXY"&gt;_x000d_
&lt;/config&gt;</dc:description>
  <cp:lastModifiedBy>联想</cp:lastModifiedBy>
  <cp:lastPrinted>2022-04-08T07:22:00Z</cp:lastPrinted>
  <dcterms:modified xsi:type="dcterms:W3CDTF">2022-06-16T00:47:32Z</dcterms:modified>
  <dc:title>国家标准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2052-11.8.2.10393</vt:lpwstr>
  </property>
</Properties>
</file>