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ind w:firstLine="0" w:firstLineChars="0"/>
        <w:jc w:val="center"/>
        <w:outlineLvl w:val="0"/>
        <w:rPr>
          <w:rFonts w:eastAsia="黑体"/>
          <w:color w:val="000000"/>
          <w:kern w:val="0"/>
          <w:sz w:val="32"/>
          <w:szCs w:val="32"/>
        </w:rPr>
      </w:pPr>
      <w:bookmarkStart w:id="0" w:name="_Toc28374"/>
      <w:bookmarkStart w:id="1" w:name="_Toc64898472"/>
      <w:bookmarkStart w:id="2" w:name="_Toc28417"/>
      <w:bookmarkStart w:id="3" w:name="_Toc30310"/>
      <w:bookmarkStart w:id="4" w:name="_Toc36212235"/>
      <w:r>
        <w:rPr>
          <w:rFonts w:eastAsia="黑体"/>
          <w:color w:val="000000"/>
          <w:kern w:val="0"/>
          <w:sz w:val="32"/>
          <w:szCs w:val="32"/>
        </w:rPr>
        <w:t>《</w:t>
      </w:r>
      <w:r>
        <w:rPr>
          <w:rFonts w:hint="eastAsia" w:eastAsia="黑体"/>
          <w:color w:val="000000"/>
          <w:kern w:val="0"/>
          <w:sz w:val="32"/>
          <w:szCs w:val="32"/>
        </w:rPr>
        <w:t>汽车软件升级通用技术要求</w:t>
      </w:r>
      <w:r>
        <w:rPr>
          <w:rFonts w:eastAsia="黑体"/>
          <w:color w:val="000000"/>
          <w:kern w:val="0"/>
          <w:sz w:val="32"/>
          <w:szCs w:val="32"/>
        </w:rPr>
        <w:t>》</w:t>
      </w:r>
      <w:bookmarkEnd w:id="0"/>
      <w:bookmarkEnd w:id="1"/>
      <w:bookmarkEnd w:id="2"/>
      <w:bookmarkEnd w:id="3"/>
      <w:bookmarkEnd w:id="4"/>
    </w:p>
    <w:p>
      <w:pPr>
        <w:autoSpaceDE w:val="0"/>
        <w:autoSpaceDN w:val="0"/>
        <w:adjustRightInd w:val="0"/>
        <w:spacing w:line="400" w:lineRule="exact"/>
        <w:ind w:firstLine="0" w:firstLineChars="0"/>
        <w:jc w:val="center"/>
        <w:outlineLvl w:val="0"/>
        <w:rPr>
          <w:rFonts w:eastAsia="黑体"/>
          <w:color w:val="000000"/>
          <w:kern w:val="0"/>
          <w:sz w:val="32"/>
          <w:szCs w:val="32"/>
        </w:rPr>
      </w:pPr>
      <w:bookmarkStart w:id="5" w:name="_Toc64898473"/>
      <w:bookmarkStart w:id="6" w:name="_Toc21854"/>
      <w:bookmarkStart w:id="7" w:name="_Toc36212236"/>
      <w:bookmarkStart w:id="8" w:name="_Toc14803"/>
      <w:bookmarkStart w:id="9" w:name="_Toc4815"/>
      <w:r>
        <w:rPr>
          <w:rFonts w:eastAsia="黑体"/>
          <w:color w:val="000000"/>
          <w:kern w:val="0"/>
          <w:sz w:val="32"/>
          <w:szCs w:val="32"/>
        </w:rPr>
        <w:t>（征求意见稿）</w:t>
      </w:r>
      <w:bookmarkEnd w:id="5"/>
      <w:bookmarkEnd w:id="6"/>
      <w:bookmarkEnd w:id="7"/>
      <w:bookmarkEnd w:id="8"/>
      <w:bookmarkEnd w:id="9"/>
      <w:bookmarkStart w:id="10" w:name="_Toc8137"/>
      <w:bookmarkStart w:id="11" w:name="_Toc64898474"/>
      <w:bookmarkStart w:id="12" w:name="_Toc36212237"/>
      <w:bookmarkStart w:id="13" w:name="_Toc31546"/>
      <w:bookmarkStart w:id="14" w:name="_Toc30226"/>
      <w:r>
        <w:rPr>
          <w:rFonts w:eastAsia="黑体"/>
          <w:color w:val="000000"/>
          <w:kern w:val="0"/>
          <w:sz w:val="32"/>
          <w:szCs w:val="32"/>
        </w:rPr>
        <w:t>编制说明</w:t>
      </w:r>
      <w:bookmarkEnd w:id="10"/>
      <w:bookmarkEnd w:id="11"/>
      <w:bookmarkEnd w:id="12"/>
      <w:bookmarkEnd w:id="13"/>
      <w:bookmarkEnd w:id="14"/>
    </w:p>
    <w:p>
      <w:pPr>
        <w:autoSpaceDE w:val="0"/>
        <w:autoSpaceDN w:val="0"/>
        <w:adjustRightInd w:val="0"/>
        <w:spacing w:line="400" w:lineRule="exact"/>
        <w:ind w:firstLine="0" w:firstLineChars="0"/>
        <w:jc w:val="center"/>
        <w:outlineLvl w:val="0"/>
        <w:rPr>
          <w:rFonts w:eastAsia="黑体"/>
          <w:color w:val="000000"/>
          <w:kern w:val="0"/>
          <w:sz w:val="32"/>
          <w:szCs w:val="32"/>
        </w:rPr>
      </w:pPr>
    </w:p>
    <w:p>
      <w:pPr>
        <w:autoSpaceDE w:val="0"/>
        <w:autoSpaceDN w:val="0"/>
        <w:adjustRightInd w:val="0"/>
        <w:spacing w:line="400" w:lineRule="exact"/>
        <w:ind w:firstLine="480"/>
        <w:jc w:val="left"/>
        <w:outlineLvl w:val="0"/>
        <w:rPr>
          <w:rFonts w:eastAsia="黑体"/>
          <w:bCs/>
          <w:color w:val="000000"/>
          <w:kern w:val="0"/>
          <w:sz w:val="24"/>
        </w:rPr>
      </w:pPr>
      <w:bookmarkStart w:id="15" w:name="_Toc7124"/>
      <w:bookmarkStart w:id="16" w:name="_Toc733"/>
      <w:bookmarkStart w:id="17" w:name="_Toc64898475"/>
      <w:bookmarkStart w:id="18" w:name="_Toc36212238"/>
      <w:bookmarkStart w:id="19" w:name="_Hlk64896381"/>
      <w:r>
        <w:rPr>
          <w:rFonts w:hint="eastAsia" w:eastAsia="黑体"/>
          <w:bCs/>
          <w:color w:val="000000"/>
          <w:kern w:val="0"/>
          <w:sz w:val="24"/>
        </w:rPr>
        <w:t>一、</w:t>
      </w:r>
      <w:r>
        <w:rPr>
          <w:rFonts w:eastAsia="黑体"/>
          <w:bCs/>
          <w:color w:val="000000"/>
          <w:kern w:val="0"/>
          <w:sz w:val="24"/>
        </w:rPr>
        <w:t>工作简况</w:t>
      </w:r>
      <w:bookmarkEnd w:id="15"/>
      <w:bookmarkEnd w:id="16"/>
      <w:bookmarkEnd w:id="17"/>
      <w:bookmarkEnd w:id="18"/>
    </w:p>
    <w:p>
      <w:pPr>
        <w:autoSpaceDE w:val="0"/>
        <w:autoSpaceDN w:val="0"/>
        <w:adjustRightInd w:val="0"/>
        <w:spacing w:line="400" w:lineRule="exact"/>
        <w:ind w:firstLine="422"/>
        <w:jc w:val="left"/>
        <w:outlineLvl w:val="0"/>
        <w:rPr>
          <w:b/>
          <w:szCs w:val="21"/>
        </w:rPr>
      </w:pPr>
      <w:r>
        <w:rPr>
          <w:rFonts w:hint="eastAsia"/>
          <w:b/>
          <w:szCs w:val="21"/>
        </w:rPr>
        <w:t>（一）任务来源</w:t>
      </w:r>
    </w:p>
    <w:p>
      <w:pPr>
        <w:spacing w:line="400" w:lineRule="exact"/>
        <w:ind w:firstLine="420"/>
        <w:rPr>
          <w:rFonts w:ascii="宋体" w:hAnsi="宋体"/>
          <w:szCs w:val="21"/>
        </w:rPr>
      </w:pPr>
      <w:r>
        <w:rPr>
          <w:rFonts w:hint="eastAsia" w:ascii="宋体" w:hAnsi="宋体"/>
          <w:szCs w:val="21"/>
        </w:rPr>
        <w:t>根据国家标准化管理委员会《关于下达&lt;包装机械安全要求&gt;等31项强制性国家标准制修订计划及相关标准外文版计划的通知》（国标委发〔2021〕27号）中项目编号20214423-Q-339的强制性国家标准制定项目，制定强制性国家标准《汽车软件升级通用技术要求》。</w:t>
      </w:r>
    </w:p>
    <w:p>
      <w:pPr>
        <w:autoSpaceDE w:val="0"/>
        <w:autoSpaceDN w:val="0"/>
        <w:adjustRightInd w:val="0"/>
        <w:spacing w:line="400" w:lineRule="exact"/>
        <w:ind w:firstLine="422"/>
        <w:jc w:val="left"/>
        <w:outlineLvl w:val="0"/>
        <w:rPr>
          <w:b/>
          <w:szCs w:val="21"/>
        </w:rPr>
      </w:pPr>
      <w:r>
        <w:rPr>
          <w:rFonts w:hint="eastAsia"/>
          <w:b/>
          <w:szCs w:val="21"/>
        </w:rPr>
        <w:t>（二）</w:t>
      </w:r>
      <w:r>
        <w:rPr>
          <w:b/>
          <w:szCs w:val="21"/>
        </w:rPr>
        <w:t>主要工作过程</w:t>
      </w:r>
    </w:p>
    <w:p>
      <w:pPr>
        <w:spacing w:line="400" w:lineRule="exact"/>
        <w:ind w:firstLine="420"/>
        <w:rPr>
          <w:rFonts w:ascii="宋体" w:hAnsi="宋体"/>
          <w:szCs w:val="21"/>
        </w:rPr>
      </w:pPr>
      <w:r>
        <w:rPr>
          <w:rFonts w:hint="eastAsia" w:ascii="宋体" w:hAnsi="宋体"/>
          <w:szCs w:val="21"/>
        </w:rPr>
        <w:t>受工业和信息化部委托，汽标委智能网联汽车分标委根据单位申请情况成立标准起草项目组，确定中国汽车技术研究中心有限公司和工业和信息化部计算机与微电子发展研究中心（中国软件评测中心）为牵头单位，并在此基础上明确了任务和分工，积极开展标准的预研、起草及征求意见等工作。</w:t>
      </w:r>
    </w:p>
    <w:p>
      <w:pPr>
        <w:spacing w:line="400" w:lineRule="exact"/>
        <w:ind w:firstLine="420"/>
        <w:rPr>
          <w:rFonts w:ascii="宋体" w:hAnsi="宋体"/>
          <w:szCs w:val="21"/>
        </w:rPr>
      </w:pPr>
      <w:r>
        <w:rPr>
          <w:rFonts w:ascii="宋体" w:hAnsi="宋体"/>
          <w:szCs w:val="21"/>
        </w:rPr>
        <w:t>自标准制定工作启动以来，</w:t>
      </w:r>
      <w:r>
        <w:rPr>
          <w:rFonts w:hint="eastAsia" w:ascii="宋体" w:hAnsi="宋体"/>
          <w:szCs w:val="21"/>
        </w:rPr>
        <w:t>牵头单位多次</w:t>
      </w:r>
      <w:r>
        <w:rPr>
          <w:rFonts w:ascii="宋体" w:hAnsi="宋体"/>
          <w:szCs w:val="21"/>
        </w:rPr>
        <w:t>组织</w:t>
      </w:r>
      <w:r>
        <w:rPr>
          <w:rFonts w:hint="eastAsia" w:ascii="宋体" w:hAnsi="宋体"/>
          <w:szCs w:val="21"/>
        </w:rPr>
        <w:t>项目组成员单位</w:t>
      </w:r>
      <w:r>
        <w:rPr>
          <w:rFonts w:ascii="宋体" w:hAnsi="宋体"/>
          <w:szCs w:val="21"/>
        </w:rPr>
        <w:t>召开</w:t>
      </w:r>
      <w:r>
        <w:rPr>
          <w:rFonts w:hint="eastAsia" w:ascii="宋体" w:hAnsi="宋体"/>
          <w:szCs w:val="21"/>
        </w:rPr>
        <w:t>项目组</w:t>
      </w:r>
      <w:r>
        <w:rPr>
          <w:rFonts w:ascii="宋体" w:hAnsi="宋体"/>
          <w:szCs w:val="21"/>
        </w:rPr>
        <w:t>会议，分析了</w:t>
      </w:r>
      <w:r>
        <w:rPr>
          <w:rFonts w:hint="eastAsia" w:ascii="宋体" w:hAnsi="宋体"/>
          <w:szCs w:val="21"/>
        </w:rPr>
        <w:t>联合国</w:t>
      </w:r>
      <w:r>
        <w:rPr>
          <w:rFonts w:ascii="宋体" w:hAnsi="宋体"/>
          <w:szCs w:val="21"/>
        </w:rPr>
        <w:t>等</w:t>
      </w:r>
      <w:r>
        <w:rPr>
          <w:rFonts w:hint="eastAsia" w:ascii="宋体" w:hAnsi="宋体"/>
          <w:szCs w:val="21"/>
        </w:rPr>
        <w:t>国际标准法规组织</w:t>
      </w:r>
      <w:r>
        <w:rPr>
          <w:rFonts w:ascii="宋体" w:hAnsi="宋体"/>
          <w:szCs w:val="21"/>
        </w:rPr>
        <w:t>的</w:t>
      </w:r>
      <w:r>
        <w:rPr>
          <w:rFonts w:hint="eastAsia" w:ascii="宋体" w:hAnsi="宋体"/>
          <w:szCs w:val="21"/>
        </w:rPr>
        <w:t>汽车软件升级标准法规现状</w:t>
      </w:r>
      <w:r>
        <w:rPr>
          <w:rFonts w:ascii="宋体" w:hAnsi="宋体"/>
          <w:szCs w:val="21"/>
        </w:rPr>
        <w:t>，讨论确定了</w:t>
      </w:r>
      <w:r>
        <w:rPr>
          <w:rFonts w:hint="eastAsia" w:ascii="宋体" w:hAnsi="宋体"/>
          <w:szCs w:val="21"/>
        </w:rPr>
        <w:t>适应</w:t>
      </w:r>
      <w:r>
        <w:rPr>
          <w:rFonts w:ascii="宋体" w:hAnsi="宋体"/>
          <w:szCs w:val="21"/>
        </w:rPr>
        <w:t>中国</w:t>
      </w:r>
      <w:r>
        <w:rPr>
          <w:rFonts w:hint="eastAsia" w:ascii="宋体" w:hAnsi="宋体"/>
          <w:szCs w:val="21"/>
        </w:rPr>
        <w:t>产业发展现状的汽车软件升级的技术要求</w:t>
      </w:r>
      <w:r>
        <w:rPr>
          <w:rFonts w:ascii="宋体" w:hAnsi="宋体"/>
          <w:szCs w:val="21"/>
        </w:rPr>
        <w:t>并</w:t>
      </w:r>
      <w:r>
        <w:rPr>
          <w:rFonts w:hint="eastAsia" w:ascii="宋体" w:hAnsi="宋体"/>
          <w:szCs w:val="21"/>
        </w:rPr>
        <w:t>编写</w:t>
      </w:r>
      <w:r>
        <w:rPr>
          <w:rFonts w:ascii="宋体" w:hAnsi="宋体"/>
          <w:szCs w:val="21"/>
        </w:rPr>
        <w:t>了标准草案，最终完成了标准的</w:t>
      </w:r>
      <w:r>
        <w:rPr>
          <w:rFonts w:hint="eastAsia" w:ascii="宋体" w:hAnsi="宋体"/>
          <w:szCs w:val="21"/>
        </w:rPr>
        <w:t>征求意见稿</w:t>
      </w:r>
      <w:r>
        <w:rPr>
          <w:rFonts w:ascii="宋体" w:hAnsi="宋体"/>
          <w:szCs w:val="21"/>
        </w:rPr>
        <w:t>。</w:t>
      </w:r>
    </w:p>
    <w:p>
      <w:pPr>
        <w:spacing w:line="400" w:lineRule="exact"/>
        <w:ind w:firstLine="420"/>
        <w:rPr>
          <w:rFonts w:ascii="宋体" w:hAnsi="宋体"/>
          <w:szCs w:val="21"/>
        </w:rPr>
      </w:pPr>
      <w:r>
        <w:rPr>
          <w:rFonts w:hint="eastAsia" w:ascii="宋体" w:hAnsi="宋体"/>
          <w:szCs w:val="21"/>
        </w:rPr>
        <w:t>2</w:t>
      </w:r>
      <w:r>
        <w:rPr>
          <w:rFonts w:ascii="宋体" w:hAnsi="宋体"/>
          <w:szCs w:val="21"/>
        </w:rPr>
        <w:t>018</w:t>
      </w:r>
      <w:r>
        <w:rPr>
          <w:rFonts w:hint="eastAsia" w:ascii="宋体" w:hAnsi="宋体"/>
          <w:szCs w:val="21"/>
        </w:rPr>
        <w:t>年1</w:t>
      </w:r>
      <w:r>
        <w:rPr>
          <w:rFonts w:ascii="宋体" w:hAnsi="宋体"/>
          <w:szCs w:val="21"/>
        </w:rPr>
        <w:t>2</w:t>
      </w:r>
      <w:r>
        <w:rPr>
          <w:rFonts w:hint="eastAsia" w:ascii="宋体" w:hAnsi="宋体"/>
          <w:szCs w:val="21"/>
        </w:rPr>
        <w:t>月 启动标准预研，成立项目组，召开第一次会议。</w:t>
      </w:r>
    </w:p>
    <w:p>
      <w:pPr>
        <w:spacing w:line="400" w:lineRule="exact"/>
        <w:ind w:firstLine="420"/>
        <w:rPr>
          <w:rFonts w:hint="eastAsia" w:ascii="宋体" w:hAnsi="宋体"/>
          <w:szCs w:val="21"/>
        </w:rPr>
      </w:pPr>
      <w:r>
        <w:rPr>
          <w:rFonts w:hint="eastAsia" w:ascii="宋体" w:hAnsi="宋体"/>
          <w:szCs w:val="21"/>
        </w:rPr>
        <w:t>2</w:t>
      </w:r>
      <w:r>
        <w:rPr>
          <w:rFonts w:ascii="宋体" w:hAnsi="宋体"/>
          <w:szCs w:val="21"/>
        </w:rPr>
        <w:t>019</w:t>
      </w:r>
      <w:r>
        <w:rPr>
          <w:rFonts w:hint="eastAsia" w:ascii="宋体" w:hAnsi="宋体"/>
          <w:szCs w:val="21"/>
        </w:rPr>
        <w:t>年1月～</w:t>
      </w:r>
      <w:r>
        <w:rPr>
          <w:rFonts w:ascii="宋体" w:hAnsi="宋体"/>
          <w:szCs w:val="21"/>
        </w:rPr>
        <w:t>9</w:t>
      </w:r>
      <w:r>
        <w:rPr>
          <w:rFonts w:hint="eastAsia" w:ascii="宋体" w:hAnsi="宋体"/>
          <w:szCs w:val="21"/>
        </w:rPr>
        <w:t>月 研究国内外标准化成果和技术发展现状，初步确定标准名称、标准范围及标准框架。</w:t>
      </w:r>
    </w:p>
    <w:p>
      <w:pPr>
        <w:spacing w:line="400" w:lineRule="exact"/>
        <w:ind w:firstLine="420"/>
        <w:rPr>
          <w:rFonts w:hint="eastAsia" w:ascii="宋体" w:hAnsi="宋体"/>
          <w:szCs w:val="21"/>
        </w:rPr>
      </w:pPr>
      <w:r>
        <w:rPr>
          <w:rFonts w:hint="eastAsia" w:ascii="宋体" w:hAnsi="宋体"/>
          <w:szCs w:val="21"/>
        </w:rPr>
        <w:t>2</w:t>
      </w:r>
      <w:r>
        <w:rPr>
          <w:rFonts w:ascii="宋体" w:hAnsi="宋体"/>
          <w:szCs w:val="21"/>
        </w:rPr>
        <w:t>019</w:t>
      </w:r>
      <w:r>
        <w:rPr>
          <w:rFonts w:hint="eastAsia" w:ascii="宋体" w:hAnsi="宋体"/>
          <w:szCs w:val="21"/>
        </w:rPr>
        <w:t>年</w:t>
      </w:r>
      <w:r>
        <w:rPr>
          <w:rFonts w:ascii="宋体" w:hAnsi="宋体"/>
          <w:szCs w:val="21"/>
        </w:rPr>
        <w:t>9</w:t>
      </w:r>
      <w:r>
        <w:rPr>
          <w:rFonts w:hint="eastAsia" w:ascii="宋体" w:hAnsi="宋体"/>
          <w:szCs w:val="21"/>
        </w:rPr>
        <w:t>月～1</w:t>
      </w:r>
      <w:r>
        <w:rPr>
          <w:rFonts w:ascii="宋体" w:hAnsi="宋体"/>
          <w:szCs w:val="21"/>
        </w:rPr>
        <w:t>1</w:t>
      </w:r>
      <w:r>
        <w:rPr>
          <w:rFonts w:hint="eastAsia" w:ascii="宋体" w:hAnsi="宋体"/>
          <w:szCs w:val="21"/>
        </w:rPr>
        <w:t>月 持续完善标准框架，并形成第一版草案。</w:t>
      </w:r>
    </w:p>
    <w:p>
      <w:pPr>
        <w:spacing w:line="400" w:lineRule="exact"/>
        <w:ind w:firstLine="420"/>
        <w:rPr>
          <w:rFonts w:hint="eastAsia" w:ascii="宋体" w:hAnsi="宋体"/>
          <w:szCs w:val="21"/>
        </w:rPr>
      </w:pPr>
      <w:r>
        <w:rPr>
          <w:rFonts w:hint="eastAsia" w:ascii="宋体" w:hAnsi="宋体"/>
          <w:szCs w:val="21"/>
        </w:rPr>
        <w:t>2</w:t>
      </w:r>
      <w:r>
        <w:rPr>
          <w:rFonts w:ascii="宋体" w:hAnsi="宋体"/>
          <w:szCs w:val="21"/>
        </w:rPr>
        <w:t>019</w:t>
      </w:r>
      <w:r>
        <w:rPr>
          <w:rFonts w:hint="eastAsia" w:ascii="宋体" w:hAnsi="宋体"/>
          <w:szCs w:val="21"/>
        </w:rPr>
        <w:t>年</w:t>
      </w:r>
      <w:r>
        <w:rPr>
          <w:rFonts w:ascii="宋体" w:hAnsi="宋体"/>
          <w:szCs w:val="21"/>
        </w:rPr>
        <w:t>11</w:t>
      </w:r>
      <w:r>
        <w:rPr>
          <w:rFonts w:hint="eastAsia" w:ascii="宋体" w:hAnsi="宋体"/>
          <w:szCs w:val="21"/>
        </w:rPr>
        <w:t>～2</w:t>
      </w:r>
      <w:r>
        <w:rPr>
          <w:rFonts w:ascii="宋体" w:hAnsi="宋体"/>
          <w:szCs w:val="21"/>
        </w:rPr>
        <w:t>020</w:t>
      </w:r>
      <w:r>
        <w:rPr>
          <w:rFonts w:hint="eastAsia" w:ascii="宋体" w:hAnsi="宋体"/>
          <w:szCs w:val="21"/>
        </w:rPr>
        <w:t>年8月 形成第二版草案，并面向项目组征求意见。</w:t>
      </w:r>
    </w:p>
    <w:p>
      <w:pPr>
        <w:spacing w:line="400" w:lineRule="exact"/>
        <w:ind w:firstLine="420"/>
        <w:rPr>
          <w:rFonts w:hint="eastAsia" w:ascii="宋体" w:hAnsi="宋体"/>
          <w:szCs w:val="21"/>
        </w:rPr>
      </w:pPr>
      <w:r>
        <w:rPr>
          <w:rFonts w:ascii="宋体" w:hAnsi="宋体"/>
          <w:szCs w:val="21"/>
        </w:rPr>
        <w:t>2020</w:t>
      </w:r>
      <w:r>
        <w:rPr>
          <w:rFonts w:hint="eastAsia" w:ascii="宋体" w:hAnsi="宋体"/>
          <w:szCs w:val="21"/>
        </w:rPr>
        <w:t>年8月～</w:t>
      </w:r>
      <w:r>
        <w:rPr>
          <w:rFonts w:hint="eastAsia" w:ascii="宋体" w:hAnsi="宋体"/>
          <w:szCs w:val="21"/>
        </w:rPr>
        <w:t>2</w:t>
      </w:r>
      <w:r>
        <w:rPr>
          <w:rFonts w:ascii="宋体" w:hAnsi="宋体"/>
          <w:szCs w:val="21"/>
        </w:rPr>
        <w:t>021</w:t>
      </w:r>
      <w:r>
        <w:rPr>
          <w:rFonts w:hint="eastAsia" w:ascii="宋体" w:hAnsi="宋体"/>
          <w:szCs w:val="21"/>
        </w:rPr>
        <w:t>年1月 持续讨论项目组成员意见，并完善标准草案。</w:t>
      </w:r>
    </w:p>
    <w:p>
      <w:pPr>
        <w:spacing w:line="400" w:lineRule="exact"/>
        <w:ind w:firstLine="420"/>
        <w:rPr>
          <w:rFonts w:ascii="宋体" w:hAnsi="宋体"/>
          <w:szCs w:val="21"/>
        </w:rPr>
      </w:pPr>
      <w:r>
        <w:rPr>
          <w:rFonts w:hint="eastAsia" w:ascii="宋体" w:hAnsi="宋体"/>
          <w:szCs w:val="21"/>
        </w:rPr>
        <w:t>2</w:t>
      </w:r>
      <w:r>
        <w:rPr>
          <w:rFonts w:ascii="宋体" w:hAnsi="宋体"/>
          <w:szCs w:val="21"/>
        </w:rPr>
        <w:t>021</w:t>
      </w:r>
      <w:r>
        <w:rPr>
          <w:rFonts w:hint="eastAsia" w:ascii="宋体" w:hAnsi="宋体"/>
          <w:szCs w:val="21"/>
        </w:rPr>
        <w:t>年3月～</w:t>
      </w:r>
      <w:r>
        <w:rPr>
          <w:rFonts w:ascii="宋体" w:hAnsi="宋体"/>
          <w:szCs w:val="21"/>
        </w:rPr>
        <w:t>4</w:t>
      </w:r>
      <w:r>
        <w:rPr>
          <w:rFonts w:hint="eastAsia" w:ascii="宋体" w:hAnsi="宋体"/>
          <w:szCs w:val="21"/>
        </w:rPr>
        <w:t>月 根据行业管理需求和主管部门要求，将原推荐性国家标准项目调整为强制性国家标准项目。</w:t>
      </w:r>
    </w:p>
    <w:p>
      <w:pPr>
        <w:spacing w:line="400" w:lineRule="exact"/>
        <w:ind w:firstLine="420"/>
        <w:rPr>
          <w:rFonts w:ascii="宋体" w:hAnsi="宋体"/>
          <w:szCs w:val="21"/>
        </w:rPr>
      </w:pPr>
      <w:r>
        <w:rPr>
          <w:rFonts w:hint="eastAsia" w:ascii="宋体" w:hAnsi="宋体"/>
          <w:szCs w:val="21"/>
        </w:rPr>
        <w:t>2</w:t>
      </w:r>
      <w:r>
        <w:rPr>
          <w:rFonts w:ascii="宋体" w:hAnsi="宋体"/>
          <w:szCs w:val="21"/>
        </w:rPr>
        <w:t>021</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9</w:t>
      </w:r>
      <w:r>
        <w:rPr>
          <w:rFonts w:hint="eastAsia" w:ascii="宋体" w:hAnsi="宋体"/>
          <w:szCs w:val="21"/>
        </w:rPr>
        <w:t>月 组织多次封闭写稿和专题研讨会议，持续完善标准草案。</w:t>
      </w:r>
    </w:p>
    <w:p>
      <w:pPr>
        <w:spacing w:line="400" w:lineRule="exact"/>
        <w:ind w:firstLine="420"/>
        <w:rPr>
          <w:rFonts w:hint="eastAsia" w:ascii="宋体" w:hAnsi="宋体"/>
          <w:szCs w:val="21"/>
        </w:rPr>
      </w:pPr>
      <w:r>
        <w:rPr>
          <w:rFonts w:hint="eastAsia" w:ascii="宋体" w:hAnsi="宋体"/>
          <w:szCs w:val="21"/>
        </w:rPr>
        <w:t>2</w:t>
      </w:r>
      <w:r>
        <w:rPr>
          <w:rFonts w:ascii="宋体" w:hAnsi="宋体"/>
          <w:szCs w:val="21"/>
        </w:rPr>
        <w:t>021</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11</w:t>
      </w:r>
      <w:r>
        <w:rPr>
          <w:rFonts w:hint="eastAsia" w:ascii="宋体" w:hAnsi="宋体"/>
          <w:szCs w:val="21"/>
        </w:rPr>
        <w:t>月 组织行业开展车辆要求和试验方案标准草案验证试验工作。</w:t>
      </w:r>
    </w:p>
    <w:p>
      <w:pPr>
        <w:spacing w:line="400" w:lineRule="exact"/>
        <w:ind w:firstLine="420"/>
        <w:rPr>
          <w:rFonts w:ascii="宋体" w:hAnsi="宋体"/>
          <w:szCs w:val="21"/>
        </w:rPr>
      </w:pPr>
      <w:r>
        <w:rPr>
          <w:rFonts w:hint="eastAsia" w:ascii="宋体" w:hAnsi="宋体"/>
          <w:szCs w:val="21"/>
        </w:rPr>
        <w:t>2</w:t>
      </w:r>
      <w:r>
        <w:rPr>
          <w:rFonts w:ascii="宋体" w:hAnsi="宋体"/>
          <w:szCs w:val="21"/>
        </w:rPr>
        <w:t>021</w:t>
      </w:r>
      <w:r>
        <w:rPr>
          <w:rFonts w:hint="eastAsia" w:ascii="宋体" w:hAnsi="宋体"/>
          <w:szCs w:val="21"/>
        </w:rPr>
        <w:t>年1</w:t>
      </w:r>
      <w:r>
        <w:rPr>
          <w:rFonts w:ascii="宋体" w:hAnsi="宋体"/>
          <w:szCs w:val="21"/>
        </w:rPr>
        <w:t>2</w:t>
      </w:r>
      <w:r>
        <w:rPr>
          <w:rFonts w:hint="eastAsia" w:ascii="宋体" w:hAnsi="宋体"/>
          <w:szCs w:val="21"/>
        </w:rPr>
        <w:t>月～2</w:t>
      </w:r>
      <w:r>
        <w:rPr>
          <w:rFonts w:ascii="宋体" w:hAnsi="宋体"/>
          <w:szCs w:val="21"/>
        </w:rPr>
        <w:t>022</w:t>
      </w:r>
      <w:r>
        <w:rPr>
          <w:rFonts w:hint="eastAsia" w:ascii="宋体" w:hAnsi="宋体"/>
          <w:szCs w:val="21"/>
        </w:rPr>
        <w:t>年</w:t>
      </w:r>
      <w:r>
        <w:rPr>
          <w:rFonts w:ascii="宋体" w:hAnsi="宋体"/>
          <w:szCs w:val="21"/>
        </w:rPr>
        <w:t>1</w:t>
      </w:r>
      <w:r>
        <w:rPr>
          <w:rFonts w:hint="eastAsia" w:ascii="宋体" w:hAnsi="宋体"/>
          <w:szCs w:val="21"/>
        </w:rPr>
        <w:t>月 组织行业开展软件升级管理体系试运行工作。</w:t>
      </w:r>
    </w:p>
    <w:p>
      <w:pPr>
        <w:spacing w:line="400" w:lineRule="exact"/>
        <w:ind w:firstLine="420"/>
        <w:rPr>
          <w:rFonts w:hint="eastAsia" w:ascii="宋体" w:hAnsi="宋体"/>
          <w:szCs w:val="21"/>
        </w:rPr>
      </w:pPr>
      <w:r>
        <w:rPr>
          <w:rFonts w:hint="eastAsia" w:ascii="宋体" w:hAnsi="宋体"/>
          <w:szCs w:val="21"/>
        </w:rPr>
        <w:t>2</w:t>
      </w:r>
      <w:r>
        <w:rPr>
          <w:rFonts w:ascii="宋体" w:hAnsi="宋体"/>
          <w:szCs w:val="21"/>
        </w:rPr>
        <w:t>022</w:t>
      </w:r>
      <w:r>
        <w:rPr>
          <w:rFonts w:hint="eastAsia" w:ascii="宋体" w:hAnsi="宋体"/>
          <w:szCs w:val="21"/>
        </w:rPr>
        <w:t>年</w:t>
      </w:r>
      <w:r>
        <w:rPr>
          <w:rFonts w:ascii="宋体" w:hAnsi="宋体"/>
          <w:szCs w:val="21"/>
        </w:rPr>
        <w:t>3</w:t>
      </w:r>
      <w:r>
        <w:rPr>
          <w:rFonts w:hint="eastAsia" w:ascii="宋体" w:hAnsi="宋体"/>
          <w:szCs w:val="21"/>
        </w:rPr>
        <w:t>月 在信息安全标准工作组进行征集意见，收集反馈意见共计</w:t>
      </w:r>
      <w:r>
        <w:rPr>
          <w:rFonts w:ascii="宋体" w:hAnsi="宋体"/>
          <w:szCs w:val="21"/>
        </w:rPr>
        <w:t>256</w:t>
      </w:r>
      <w:r>
        <w:rPr>
          <w:rFonts w:hint="eastAsia" w:ascii="宋体" w:hAnsi="宋体"/>
          <w:szCs w:val="21"/>
        </w:rPr>
        <w:t>条，并召开意见协调会，其中</w:t>
      </w:r>
      <w:r>
        <w:rPr>
          <w:rFonts w:ascii="宋体" w:hAnsi="宋体"/>
          <w:szCs w:val="21"/>
        </w:rPr>
        <w:t>63</w:t>
      </w:r>
      <w:r>
        <w:rPr>
          <w:rFonts w:hint="eastAsia" w:ascii="宋体" w:hAnsi="宋体"/>
          <w:szCs w:val="21"/>
        </w:rPr>
        <w:t>条采纳，1</w:t>
      </w:r>
      <w:r>
        <w:rPr>
          <w:rFonts w:ascii="宋体" w:hAnsi="宋体"/>
          <w:szCs w:val="21"/>
        </w:rPr>
        <w:t>05</w:t>
      </w:r>
      <w:r>
        <w:rPr>
          <w:rFonts w:hint="eastAsia" w:ascii="宋体" w:hAnsi="宋体"/>
          <w:szCs w:val="21"/>
        </w:rPr>
        <w:t>条不采纳，8</w:t>
      </w:r>
      <w:r>
        <w:rPr>
          <w:rFonts w:ascii="宋体" w:hAnsi="宋体"/>
          <w:szCs w:val="21"/>
        </w:rPr>
        <w:t>8</w:t>
      </w:r>
      <w:r>
        <w:rPr>
          <w:rFonts w:hint="eastAsia" w:ascii="宋体" w:hAnsi="宋体"/>
          <w:szCs w:val="21"/>
        </w:rPr>
        <w:t>条部分采纳。</w:t>
      </w:r>
      <w:r>
        <w:rPr>
          <w:rFonts w:hint="eastAsia" w:ascii="宋体" w:hAnsi="宋体"/>
          <w:szCs w:val="21"/>
        </w:rPr>
        <w:t>并根据意见反馈修改形成公开征求意见稿和编制说明</w:t>
      </w:r>
      <w:r>
        <w:rPr>
          <w:rFonts w:hint="eastAsia" w:ascii="宋体" w:hAnsi="宋体"/>
          <w:szCs w:val="21"/>
        </w:rPr>
        <w:t>。</w:t>
      </w:r>
    </w:p>
    <w:p>
      <w:pPr>
        <w:numPr>
          <w:ilvl w:val="2"/>
          <w:numId w:val="4"/>
        </w:numPr>
        <w:tabs>
          <w:tab w:val="left" w:pos="720"/>
        </w:tabs>
        <w:spacing w:line="240" w:lineRule="auto"/>
        <w:ind w:left="0" w:firstLine="420" w:firstLineChars="0"/>
        <w:rPr>
          <w:rFonts w:hint="eastAsia" w:ascii="黑体" w:hAnsi="黑体" w:eastAsia="黑体"/>
          <w:bCs/>
          <w:szCs w:val="21"/>
        </w:rPr>
      </w:pPr>
      <w:r>
        <w:rPr>
          <w:rFonts w:hint="eastAsia" w:ascii="黑体" w:hAnsi="黑体" w:eastAsia="黑体"/>
          <w:bCs/>
          <w:szCs w:val="21"/>
        </w:rPr>
        <w:t>项目组第一次会议</w:t>
      </w:r>
    </w:p>
    <w:p>
      <w:pPr>
        <w:spacing w:line="400" w:lineRule="exact"/>
        <w:ind w:firstLine="420"/>
        <w:rPr>
          <w:rFonts w:ascii="宋体" w:hAnsi="宋体"/>
          <w:szCs w:val="21"/>
        </w:rPr>
      </w:pPr>
      <w:r>
        <w:rPr>
          <w:rFonts w:hint="eastAsia" w:ascii="宋体" w:hAnsi="宋体"/>
          <w:szCs w:val="21"/>
        </w:rPr>
        <w:t>汽车软件升级通用技术要求标准项目组第一次会议于</w:t>
      </w:r>
      <w:r>
        <w:rPr>
          <w:rFonts w:ascii="宋体" w:hAnsi="宋体"/>
          <w:szCs w:val="21"/>
        </w:rPr>
        <w:t>2018</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19</w:t>
      </w:r>
      <w:r>
        <w:rPr>
          <w:rFonts w:hint="eastAsia" w:ascii="宋体" w:hAnsi="宋体"/>
          <w:szCs w:val="21"/>
        </w:rPr>
        <w:t>日在北京召开，正式启动标准制定工作。会议就标准的制定背景、范围、框架、技术现状进行了详细的讨论，并梳理了1</w:t>
      </w:r>
      <w:r>
        <w:rPr>
          <w:rFonts w:ascii="宋体" w:hAnsi="宋体"/>
          <w:szCs w:val="21"/>
        </w:rPr>
        <w:t>4</w:t>
      </w:r>
      <w:r>
        <w:rPr>
          <w:rFonts w:hint="eastAsia" w:ascii="宋体" w:hAnsi="宋体"/>
          <w:szCs w:val="21"/>
        </w:rPr>
        <w:t>项专项问题。会议明确：该标准以推荐性国家标准进行立项；该标准应该规范所有技术方案的软件升级方式，不只针对OTA方案；将参考联合国正在制定的软件升级标准，保持与联合国法规的协调；该标准可以包含信息安全要求，后续将深入讨论标准框架和范畴。</w:t>
      </w:r>
    </w:p>
    <w:p>
      <w:pPr>
        <w:numPr>
          <w:ilvl w:val="2"/>
          <w:numId w:val="4"/>
        </w:numPr>
        <w:tabs>
          <w:tab w:val="left" w:pos="720"/>
        </w:tabs>
        <w:spacing w:line="240" w:lineRule="auto"/>
        <w:ind w:left="0" w:firstLine="420" w:firstLineChars="0"/>
        <w:rPr>
          <w:rFonts w:hint="eastAsia" w:ascii="黑体" w:hAnsi="黑体" w:eastAsia="黑体"/>
          <w:bCs/>
          <w:szCs w:val="21"/>
        </w:rPr>
      </w:pPr>
      <w:r>
        <w:rPr>
          <w:rFonts w:hint="eastAsia" w:ascii="黑体" w:hAnsi="黑体" w:eastAsia="黑体"/>
          <w:bCs/>
          <w:szCs w:val="21"/>
        </w:rPr>
        <w:t>项目组第二次会议</w:t>
      </w:r>
    </w:p>
    <w:p>
      <w:pPr>
        <w:spacing w:line="400" w:lineRule="exact"/>
        <w:ind w:firstLine="420"/>
        <w:rPr>
          <w:rFonts w:ascii="宋体" w:hAnsi="宋体"/>
          <w:szCs w:val="21"/>
        </w:rPr>
      </w:pPr>
      <w:r>
        <w:rPr>
          <w:rFonts w:hint="eastAsia" w:ascii="宋体" w:hAnsi="宋体"/>
          <w:szCs w:val="21"/>
        </w:rPr>
        <w:t>汽车软件升级通用技术要求标准项目组第二次工作会议于</w:t>
      </w:r>
      <w:r>
        <w:rPr>
          <w:rFonts w:ascii="宋体" w:hAnsi="宋体"/>
          <w:szCs w:val="21"/>
        </w:rPr>
        <w:t>2019</w:t>
      </w:r>
      <w:r>
        <w:rPr>
          <w:rFonts w:hint="eastAsia" w:ascii="宋体" w:hAnsi="宋体"/>
          <w:szCs w:val="21"/>
        </w:rPr>
        <w:t>年6月5日在无锡召开，会议主要围绕标准现存问题、标准名称、标准框架确定、编写分工以及后续工作规划等展开讨论。会议明确：标准名称确定为“汽车软件升级通用技术要求”；确定标准坚持兼容并包的原则，制定通用性技术要求，避免限制技术路线；进一步明确将参考联合国法规；确定将两种标准框架进行整合，同时考虑技术发展特性，持续完善标准框架；确定采用分工编写的工作方式，每章节一个牵头单位，由牵头单位继续细化内容。</w:t>
      </w:r>
    </w:p>
    <w:p>
      <w:pPr>
        <w:numPr>
          <w:ilvl w:val="2"/>
          <w:numId w:val="4"/>
        </w:numPr>
        <w:tabs>
          <w:tab w:val="left" w:pos="720"/>
        </w:tabs>
        <w:spacing w:line="240" w:lineRule="auto"/>
        <w:ind w:left="0" w:firstLine="420" w:firstLineChars="0"/>
        <w:rPr>
          <w:rFonts w:hint="eastAsia" w:ascii="黑体" w:hAnsi="黑体" w:eastAsia="黑体"/>
          <w:bCs/>
          <w:szCs w:val="21"/>
        </w:rPr>
      </w:pPr>
      <w:r>
        <w:rPr>
          <w:rFonts w:hint="eastAsia" w:ascii="黑体" w:hAnsi="黑体" w:eastAsia="黑体"/>
          <w:bCs/>
          <w:szCs w:val="21"/>
        </w:rPr>
        <w:t>项目组第三次会议</w:t>
      </w:r>
    </w:p>
    <w:p>
      <w:pPr>
        <w:spacing w:line="400" w:lineRule="exact"/>
        <w:ind w:firstLine="420"/>
        <w:rPr>
          <w:rFonts w:ascii="宋体" w:hAnsi="宋体"/>
          <w:szCs w:val="21"/>
        </w:rPr>
      </w:pPr>
      <w:r>
        <w:rPr>
          <w:rFonts w:hint="eastAsia" w:ascii="宋体" w:hAnsi="宋体"/>
          <w:szCs w:val="21"/>
        </w:rPr>
        <w:t>汽车软件升级通用技术要求标准项目组第三次工作会议于</w:t>
      </w:r>
      <w:r>
        <w:rPr>
          <w:rFonts w:ascii="宋体" w:hAnsi="宋体"/>
          <w:szCs w:val="21"/>
        </w:rPr>
        <w:t>2019</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5</w:t>
      </w:r>
      <w:r>
        <w:rPr>
          <w:rFonts w:hint="eastAsia" w:ascii="宋体" w:hAnsi="宋体"/>
          <w:szCs w:val="21"/>
        </w:rPr>
        <w:t>日在北京召开。会议讨论并明确标准项目组工作范畴，详细介绍标准编写格式，总结标准现存问题并探讨解决方案，进一步梳理标准二级框架及各章节编写分工。在此基础上，更新了项目组工作计划，并部署了近期工作任务。会议明确：标准草案要严格遵照标准编写格式；标准内容聚焦车端，重关注功能要求和安全要求；调整标准范围，保证标准范围与标准名称、标准内容保持一致；对于“软件升级概述”部分，该部分暂定为资料性内容，内容需要简化；对于“汽车软件升级功能要求”部分，立足车端的技术要求，不涉及服务器端要求和管理要求；对于“汽车软件升级安全要求”部分，立足车端的技术要求，不涉及服务器端要求和管理要求；对于“升级包安全要求”部分，立足升级包本身的安全，暂不考虑升级包编码要求。</w:t>
      </w:r>
    </w:p>
    <w:p>
      <w:pPr>
        <w:numPr>
          <w:ilvl w:val="2"/>
          <w:numId w:val="4"/>
        </w:numPr>
        <w:tabs>
          <w:tab w:val="left" w:pos="720"/>
        </w:tabs>
        <w:spacing w:line="240" w:lineRule="auto"/>
        <w:ind w:left="0" w:firstLine="420" w:firstLineChars="0"/>
        <w:rPr>
          <w:rFonts w:hint="eastAsia" w:ascii="黑体" w:hAnsi="黑体" w:eastAsia="黑体"/>
          <w:bCs/>
          <w:szCs w:val="21"/>
        </w:rPr>
      </w:pPr>
      <w:r>
        <w:rPr>
          <w:rFonts w:hint="eastAsia" w:ascii="黑体" w:hAnsi="黑体" w:eastAsia="黑体"/>
          <w:bCs/>
          <w:szCs w:val="21"/>
        </w:rPr>
        <w:t>项目组第四次会议</w:t>
      </w:r>
    </w:p>
    <w:p>
      <w:pPr>
        <w:spacing w:line="400" w:lineRule="exact"/>
        <w:ind w:firstLine="420"/>
        <w:rPr>
          <w:rFonts w:hint="eastAsia" w:ascii="宋体" w:hAnsi="宋体"/>
          <w:szCs w:val="21"/>
        </w:rPr>
      </w:pPr>
      <w:r>
        <w:rPr>
          <w:rFonts w:hint="eastAsia" w:ascii="宋体" w:hAnsi="宋体"/>
          <w:szCs w:val="21"/>
        </w:rPr>
        <w:t>汽车软件升级通用技术要求标准项目组第四次工作会议于2</w:t>
      </w:r>
      <w:r>
        <w:rPr>
          <w:rFonts w:ascii="宋体" w:hAnsi="宋体"/>
          <w:szCs w:val="21"/>
        </w:rPr>
        <w:t>019</w:t>
      </w:r>
      <w:r>
        <w:rPr>
          <w:rFonts w:hint="eastAsia" w:ascii="宋体" w:hAnsi="宋体"/>
          <w:szCs w:val="21"/>
        </w:rPr>
        <w:t>年1</w:t>
      </w:r>
      <w:r>
        <w:rPr>
          <w:rFonts w:ascii="宋体" w:hAnsi="宋体"/>
          <w:szCs w:val="21"/>
        </w:rPr>
        <w:t>1</w:t>
      </w:r>
      <w:r>
        <w:rPr>
          <w:rFonts w:hint="eastAsia" w:ascii="宋体" w:hAnsi="宋体"/>
          <w:szCs w:val="21"/>
        </w:rPr>
        <w:t>月7日在杭州召开。会议回顾了前期工作成果和遗留问题，并对标准范围、适用对象和标准框架进行深入讨论。会议明确：标准的适用车型为M类和N类；针对车辆提出技术要求，不规范车外离线升级工具或后台服务器；5</w:t>
      </w:r>
      <w:r>
        <w:rPr>
          <w:rFonts w:ascii="宋体" w:hAnsi="宋体"/>
          <w:szCs w:val="21"/>
        </w:rPr>
        <w:t>.1.1</w:t>
      </w:r>
      <w:r>
        <w:rPr>
          <w:rFonts w:hint="eastAsia" w:ascii="宋体" w:hAnsi="宋体"/>
          <w:szCs w:val="21"/>
        </w:rPr>
        <w:t>节增加环境要求、新版本检测、升级包下载和升级包安装；整合第6章和第7章为“信息安全要求”，其中第7章修改为6</w:t>
      </w:r>
      <w:r>
        <w:rPr>
          <w:rFonts w:ascii="宋体" w:hAnsi="宋体"/>
          <w:szCs w:val="21"/>
        </w:rPr>
        <w:t>.3</w:t>
      </w:r>
      <w:r>
        <w:rPr>
          <w:rFonts w:hint="eastAsia" w:ascii="宋体" w:hAnsi="宋体"/>
          <w:szCs w:val="21"/>
        </w:rPr>
        <w:t>；删除第6章中服务器信息安全要求；6</w:t>
      </w:r>
      <w:r>
        <w:rPr>
          <w:rFonts w:ascii="宋体" w:hAnsi="宋体"/>
          <w:szCs w:val="21"/>
        </w:rPr>
        <w:t>.3</w:t>
      </w:r>
      <w:r>
        <w:rPr>
          <w:rFonts w:hint="eastAsia" w:ascii="宋体" w:hAnsi="宋体"/>
          <w:szCs w:val="21"/>
        </w:rPr>
        <w:t>节下设升级包完整性要求、升级包的保密性要求、升级包的真实性要求等小节；确定后续各章节继续完善内容。</w:t>
      </w:r>
    </w:p>
    <w:p>
      <w:pPr>
        <w:numPr>
          <w:ilvl w:val="2"/>
          <w:numId w:val="4"/>
        </w:numPr>
        <w:tabs>
          <w:tab w:val="left" w:pos="720"/>
        </w:tabs>
        <w:spacing w:line="240" w:lineRule="auto"/>
        <w:ind w:left="0" w:firstLine="420" w:firstLineChars="0"/>
        <w:rPr>
          <w:rFonts w:hint="eastAsia" w:ascii="黑体" w:hAnsi="黑体" w:eastAsia="黑体"/>
          <w:bCs/>
          <w:szCs w:val="21"/>
        </w:rPr>
      </w:pPr>
      <w:r>
        <w:rPr>
          <w:rFonts w:hint="eastAsia" w:ascii="黑体" w:hAnsi="黑体" w:eastAsia="黑体"/>
          <w:bCs/>
          <w:szCs w:val="21"/>
        </w:rPr>
        <w:t>项目组第五次会议</w:t>
      </w:r>
    </w:p>
    <w:p>
      <w:pPr>
        <w:spacing w:line="400" w:lineRule="exact"/>
        <w:ind w:firstLine="420"/>
        <w:rPr>
          <w:rFonts w:ascii="宋体" w:hAnsi="宋体"/>
          <w:szCs w:val="21"/>
        </w:rPr>
      </w:pPr>
      <w:r>
        <w:rPr>
          <w:rFonts w:hint="eastAsia" w:ascii="宋体" w:hAnsi="宋体"/>
          <w:szCs w:val="21"/>
        </w:rPr>
        <w:t>汽车软件升级通用技术要求标准项目组第五次工作会议于</w:t>
      </w:r>
      <w:r>
        <w:rPr>
          <w:rFonts w:ascii="宋体" w:hAnsi="宋体"/>
          <w:szCs w:val="21"/>
        </w:rPr>
        <w:t>2020</w:t>
      </w:r>
      <w:r>
        <w:rPr>
          <w:rFonts w:hint="eastAsia" w:ascii="宋体" w:hAnsi="宋体"/>
          <w:szCs w:val="21"/>
        </w:rPr>
        <w:t>年</w:t>
      </w:r>
      <w:r>
        <w:rPr>
          <w:rFonts w:ascii="宋体" w:hAnsi="宋体"/>
          <w:szCs w:val="21"/>
        </w:rPr>
        <w:t>8</w:t>
      </w:r>
      <w:r>
        <w:rPr>
          <w:rFonts w:hint="eastAsia" w:ascii="宋体" w:hAnsi="宋体"/>
          <w:szCs w:val="21"/>
        </w:rPr>
        <w:t>月</w:t>
      </w:r>
      <w:r>
        <w:rPr>
          <w:rFonts w:ascii="宋体" w:hAnsi="宋体"/>
          <w:szCs w:val="21"/>
        </w:rPr>
        <w:t>19</w:t>
      </w:r>
      <w:r>
        <w:rPr>
          <w:rFonts w:hint="eastAsia" w:ascii="宋体" w:hAnsi="宋体"/>
          <w:szCs w:val="21"/>
        </w:rPr>
        <w:t>日以网络形式召开。本次会议主要讨论和处理项目组成员所反馈1</w:t>
      </w:r>
      <w:r>
        <w:rPr>
          <w:rFonts w:ascii="宋体" w:hAnsi="宋体"/>
          <w:szCs w:val="21"/>
        </w:rPr>
        <w:t>82</w:t>
      </w:r>
      <w:r>
        <w:rPr>
          <w:rFonts w:hint="eastAsia" w:ascii="宋体" w:hAnsi="宋体"/>
          <w:szCs w:val="21"/>
        </w:rPr>
        <w:t>条意见中的1</w:t>
      </w:r>
      <w:r>
        <w:rPr>
          <w:rFonts w:ascii="宋体" w:hAnsi="宋体"/>
          <w:szCs w:val="21"/>
        </w:rPr>
        <w:t>5</w:t>
      </w:r>
      <w:r>
        <w:rPr>
          <w:rFonts w:hint="eastAsia" w:ascii="宋体" w:hAnsi="宋体"/>
          <w:szCs w:val="21"/>
        </w:rPr>
        <w:t>-</w:t>
      </w:r>
      <w:r>
        <w:rPr>
          <w:rFonts w:ascii="宋体" w:hAnsi="宋体"/>
          <w:szCs w:val="21"/>
        </w:rPr>
        <w:t>54</w:t>
      </w:r>
      <w:r>
        <w:rPr>
          <w:rFonts w:hint="eastAsia" w:ascii="宋体" w:hAnsi="宋体"/>
          <w:szCs w:val="21"/>
        </w:rPr>
        <w:t>条意见，以及规划后续工作。会议确定：保留应允许手动开启或关闭软件升级功能；根据软件升级类型重新梳理车辆状态监测要求；新增升级任务用户提示要求；保留检测升级包与车辆现有软硬件兼容性的要求；删除检测离线升级工具接入状态的要求；保留断点续传要求；删除允许用户取消升级包下载要求；删除显示升级包下载进度要求。</w:t>
      </w:r>
    </w:p>
    <w:p>
      <w:pPr>
        <w:numPr>
          <w:ilvl w:val="2"/>
          <w:numId w:val="4"/>
        </w:numPr>
        <w:tabs>
          <w:tab w:val="left" w:pos="720"/>
        </w:tabs>
        <w:spacing w:line="240" w:lineRule="auto"/>
        <w:ind w:left="0" w:firstLine="420" w:firstLineChars="0"/>
        <w:rPr>
          <w:rFonts w:ascii="黑体" w:hAnsi="黑体" w:eastAsia="黑体"/>
          <w:bCs/>
          <w:szCs w:val="21"/>
        </w:rPr>
      </w:pPr>
      <w:r>
        <w:rPr>
          <w:rFonts w:hint="eastAsia" w:ascii="黑体" w:hAnsi="黑体" w:eastAsia="黑体"/>
          <w:bCs/>
          <w:szCs w:val="21"/>
        </w:rPr>
        <w:t>项目组第六次会议</w:t>
      </w:r>
    </w:p>
    <w:p>
      <w:pPr>
        <w:spacing w:line="400" w:lineRule="exact"/>
        <w:ind w:firstLine="420"/>
        <w:rPr>
          <w:rFonts w:ascii="宋体" w:hAnsi="宋体"/>
          <w:szCs w:val="21"/>
        </w:rPr>
      </w:pPr>
      <w:r>
        <w:rPr>
          <w:rFonts w:hint="eastAsia" w:ascii="宋体" w:hAnsi="宋体"/>
          <w:szCs w:val="21"/>
        </w:rPr>
        <w:t>汽车软件升级通用技术要求标准项目组第六次工作会议于</w:t>
      </w:r>
      <w:r>
        <w:rPr>
          <w:rFonts w:ascii="宋体" w:hAnsi="宋体"/>
          <w:szCs w:val="21"/>
        </w:rPr>
        <w:t>2020</w:t>
      </w:r>
      <w:r>
        <w:rPr>
          <w:rFonts w:hint="eastAsia" w:ascii="宋体" w:hAnsi="宋体"/>
          <w:szCs w:val="21"/>
        </w:rPr>
        <w:t>年1</w:t>
      </w:r>
      <w:r>
        <w:rPr>
          <w:rFonts w:ascii="宋体" w:hAnsi="宋体"/>
          <w:szCs w:val="21"/>
        </w:rPr>
        <w:t>0</w:t>
      </w:r>
      <w:r>
        <w:rPr>
          <w:rFonts w:hint="eastAsia" w:ascii="宋体" w:hAnsi="宋体"/>
          <w:szCs w:val="21"/>
        </w:rPr>
        <w:t>月</w:t>
      </w:r>
      <w:r>
        <w:rPr>
          <w:rFonts w:ascii="宋体" w:hAnsi="宋体"/>
          <w:szCs w:val="21"/>
        </w:rPr>
        <w:t>22</w:t>
      </w:r>
      <w:r>
        <w:rPr>
          <w:rFonts w:hint="eastAsia" w:ascii="宋体" w:hAnsi="宋体"/>
          <w:szCs w:val="21"/>
        </w:rPr>
        <w:t>日在北京召开。本次会议继续讨论和处理项目成员所反馈1</w:t>
      </w:r>
      <w:r>
        <w:rPr>
          <w:rFonts w:ascii="宋体" w:hAnsi="宋体"/>
          <w:szCs w:val="21"/>
        </w:rPr>
        <w:t>82</w:t>
      </w:r>
      <w:r>
        <w:rPr>
          <w:rFonts w:hint="eastAsia" w:ascii="宋体" w:hAnsi="宋体"/>
          <w:szCs w:val="21"/>
        </w:rPr>
        <w:t>条意见中的</w:t>
      </w:r>
      <w:r>
        <w:rPr>
          <w:rFonts w:ascii="宋体" w:hAnsi="宋体"/>
          <w:szCs w:val="21"/>
        </w:rPr>
        <w:t>55-114</w:t>
      </w:r>
      <w:r>
        <w:rPr>
          <w:rFonts w:hint="eastAsia" w:ascii="宋体" w:hAnsi="宋体"/>
          <w:szCs w:val="21"/>
        </w:rPr>
        <w:t>条意见。会议确定：继续梳理技术要求，将适用于在线升级和离线升级的技术要求进行分离；计划成立专项小组研究软件的分级分类，并梳理分类原则；继续研究软件识别码的适用性；当升级失败或中断是，增加使车辆处于安全状态的要求；进一步明确升级端的定义；增加具备升级包真实性、保密性、完整性的校验能力。</w:t>
      </w:r>
    </w:p>
    <w:p>
      <w:pPr>
        <w:numPr>
          <w:ilvl w:val="2"/>
          <w:numId w:val="4"/>
        </w:numPr>
        <w:tabs>
          <w:tab w:val="left" w:pos="720"/>
        </w:tabs>
        <w:spacing w:line="240" w:lineRule="auto"/>
        <w:ind w:left="0" w:firstLine="420" w:firstLineChars="0"/>
        <w:rPr>
          <w:rFonts w:ascii="黑体" w:hAnsi="黑体" w:eastAsia="黑体"/>
          <w:bCs/>
          <w:szCs w:val="21"/>
        </w:rPr>
      </w:pPr>
      <w:r>
        <w:rPr>
          <w:rFonts w:hint="eastAsia" w:ascii="黑体" w:hAnsi="黑体" w:eastAsia="黑体"/>
          <w:bCs/>
          <w:szCs w:val="21"/>
        </w:rPr>
        <w:t>项目组第七次会议</w:t>
      </w:r>
    </w:p>
    <w:p>
      <w:pPr>
        <w:spacing w:line="400" w:lineRule="exact"/>
        <w:ind w:firstLine="420"/>
        <w:rPr>
          <w:rFonts w:ascii="宋体" w:hAnsi="宋体"/>
          <w:szCs w:val="21"/>
        </w:rPr>
      </w:pPr>
      <w:r>
        <w:rPr>
          <w:rFonts w:hint="eastAsia" w:ascii="宋体" w:hAnsi="宋体"/>
          <w:szCs w:val="21"/>
        </w:rPr>
        <w:t>汽车软件升级通用技术要求标准项目组第七次工作会议于</w:t>
      </w:r>
      <w:r>
        <w:rPr>
          <w:rFonts w:ascii="宋体" w:hAnsi="宋体"/>
          <w:szCs w:val="21"/>
        </w:rPr>
        <w:t>2021</w:t>
      </w:r>
      <w:r>
        <w:rPr>
          <w:rFonts w:hint="eastAsia" w:ascii="宋体" w:hAnsi="宋体"/>
          <w:szCs w:val="21"/>
        </w:rPr>
        <w:t>年1月</w:t>
      </w:r>
      <w:r>
        <w:rPr>
          <w:rFonts w:ascii="宋体" w:hAnsi="宋体"/>
          <w:szCs w:val="21"/>
        </w:rPr>
        <w:t>12</w:t>
      </w:r>
      <w:r>
        <w:rPr>
          <w:rFonts w:hint="eastAsia" w:ascii="宋体" w:hAnsi="宋体"/>
          <w:szCs w:val="21"/>
        </w:rPr>
        <w:t>日在长沙召开。本次会议继续讨论和处理项目成员所反馈1</w:t>
      </w:r>
      <w:r>
        <w:rPr>
          <w:rFonts w:ascii="宋体" w:hAnsi="宋体"/>
          <w:szCs w:val="21"/>
        </w:rPr>
        <w:t>82</w:t>
      </w:r>
      <w:r>
        <w:rPr>
          <w:rFonts w:hint="eastAsia" w:ascii="宋体" w:hAnsi="宋体"/>
          <w:szCs w:val="21"/>
        </w:rPr>
        <w:t>条意见中的</w:t>
      </w:r>
      <w:r>
        <w:rPr>
          <w:rFonts w:ascii="宋体" w:hAnsi="宋体"/>
          <w:szCs w:val="21"/>
        </w:rPr>
        <w:t>115-182</w:t>
      </w:r>
      <w:r>
        <w:rPr>
          <w:rFonts w:hint="eastAsia" w:ascii="宋体" w:hAnsi="宋体"/>
          <w:szCs w:val="21"/>
        </w:rPr>
        <w:t>条意见。会议确定：。</w:t>
      </w:r>
    </w:p>
    <w:p>
      <w:pPr>
        <w:spacing w:line="400" w:lineRule="exact"/>
        <w:ind w:firstLine="420"/>
        <w:rPr>
          <w:rFonts w:hint="eastAsia" w:ascii="宋体" w:hAnsi="宋体"/>
          <w:szCs w:val="21"/>
        </w:rPr>
      </w:pPr>
      <w:r>
        <w:rPr>
          <w:rFonts w:hint="eastAsia" w:ascii="宋体" w:hAnsi="宋体"/>
          <w:szCs w:val="21"/>
        </w:rPr>
        <w:t>(1) 更新“软件升级”的定义为“根据需要，将某版本的软件程序或配置参数更新到另一个版本的过程。”</w:t>
      </w:r>
    </w:p>
    <w:p>
      <w:pPr>
        <w:spacing w:line="400" w:lineRule="exact"/>
        <w:ind w:firstLine="420"/>
        <w:rPr>
          <w:rFonts w:hint="eastAsia" w:ascii="宋体" w:hAnsi="宋体"/>
          <w:szCs w:val="21"/>
        </w:rPr>
      </w:pPr>
      <w:r>
        <w:rPr>
          <w:rFonts w:hint="eastAsia" w:ascii="宋体" w:hAnsi="宋体"/>
          <w:szCs w:val="21"/>
        </w:rPr>
        <w:t>(2) 更新“在线升级”的定义为“通过 OTA 连接至后台服务器进行软件下载和升级的方式”。</w:t>
      </w:r>
    </w:p>
    <w:p>
      <w:pPr>
        <w:spacing w:line="400" w:lineRule="exact"/>
        <w:ind w:firstLine="420"/>
        <w:rPr>
          <w:rFonts w:hint="eastAsia" w:ascii="宋体" w:hAnsi="宋体"/>
          <w:szCs w:val="21"/>
        </w:rPr>
      </w:pPr>
      <w:r>
        <w:rPr>
          <w:rFonts w:hint="eastAsia" w:ascii="宋体" w:hAnsi="宋体"/>
          <w:szCs w:val="21"/>
        </w:rPr>
        <w:t>(3) 针对“4.1 一般要求”，项目组内成员普遍反馈目前不具备允许用户关闭功能，认为不应允许驾驶员关闭软件升级功能；</w:t>
      </w:r>
    </w:p>
    <w:p>
      <w:pPr>
        <w:spacing w:line="400" w:lineRule="exact"/>
        <w:ind w:firstLine="420"/>
        <w:rPr>
          <w:rFonts w:hint="eastAsia" w:ascii="宋体" w:hAnsi="宋体"/>
          <w:szCs w:val="21"/>
        </w:rPr>
      </w:pPr>
      <w:r>
        <w:rPr>
          <w:rFonts w:hint="eastAsia" w:ascii="宋体" w:hAnsi="宋体"/>
          <w:szCs w:val="21"/>
        </w:rPr>
        <w:t>(4) 针对“4.2 车辆状态检测要求”，项目组建议对于电动汽车，还应该增加检测充放电状态；</w:t>
      </w:r>
    </w:p>
    <w:p>
      <w:pPr>
        <w:spacing w:line="400" w:lineRule="exact"/>
        <w:ind w:firstLine="420"/>
        <w:rPr>
          <w:rFonts w:hint="eastAsia" w:ascii="宋体" w:hAnsi="宋体"/>
          <w:szCs w:val="21"/>
        </w:rPr>
      </w:pPr>
      <w:r>
        <w:rPr>
          <w:rFonts w:hint="eastAsia" w:ascii="宋体" w:hAnsi="宋体"/>
          <w:szCs w:val="21"/>
        </w:rPr>
        <w:t>(5) 针对“4.2.1”，“询检”修改为“巡检”；</w:t>
      </w:r>
    </w:p>
    <w:p>
      <w:pPr>
        <w:spacing w:line="400" w:lineRule="exact"/>
        <w:ind w:firstLine="420"/>
        <w:rPr>
          <w:rFonts w:hint="eastAsia" w:ascii="宋体" w:hAnsi="宋体"/>
          <w:szCs w:val="21"/>
        </w:rPr>
      </w:pPr>
      <w:r>
        <w:rPr>
          <w:rFonts w:hint="eastAsia" w:ascii="宋体" w:hAnsi="宋体"/>
          <w:szCs w:val="21"/>
        </w:rPr>
        <w:t>(6) 针对“4.2.6”，项目组企业认同目前主要由后台服务器确保软硬件的兼容性，车载软件升级系统无法检测软硬件的兼容性，建议修改为检测软硬件的版本；</w:t>
      </w:r>
    </w:p>
    <w:p>
      <w:pPr>
        <w:spacing w:line="400" w:lineRule="exact"/>
        <w:ind w:firstLine="420"/>
        <w:rPr>
          <w:rFonts w:hint="eastAsia" w:ascii="宋体" w:hAnsi="宋体"/>
          <w:szCs w:val="21"/>
        </w:rPr>
      </w:pPr>
      <w:r>
        <w:rPr>
          <w:rFonts w:hint="eastAsia" w:ascii="宋体" w:hAnsi="宋体"/>
          <w:szCs w:val="21"/>
        </w:rPr>
        <w:t>(7) 针对“4.3.1”和 “4.3.2”，项目组同意这两项不是安全性要求；</w:t>
      </w:r>
    </w:p>
    <w:p>
      <w:pPr>
        <w:spacing w:line="400" w:lineRule="exact"/>
        <w:ind w:firstLine="420"/>
        <w:rPr>
          <w:rFonts w:hint="eastAsia" w:ascii="宋体" w:hAnsi="宋体"/>
          <w:szCs w:val="21"/>
        </w:rPr>
      </w:pPr>
      <w:r>
        <w:rPr>
          <w:rFonts w:hint="eastAsia" w:ascii="宋体" w:hAnsi="宋体"/>
          <w:szCs w:val="21"/>
        </w:rPr>
        <w:t>(8) 针对“4.4.3”，项目组建议将该条与 4.2 相融合；</w:t>
      </w:r>
    </w:p>
    <w:p>
      <w:pPr>
        <w:spacing w:line="400" w:lineRule="exact"/>
        <w:ind w:firstLine="420"/>
        <w:rPr>
          <w:rFonts w:ascii="宋体" w:hAnsi="宋体"/>
          <w:szCs w:val="21"/>
        </w:rPr>
      </w:pPr>
      <w:r>
        <w:rPr>
          <w:rFonts w:hint="eastAsia" w:ascii="宋体" w:hAnsi="宋体"/>
          <w:szCs w:val="21"/>
        </w:rPr>
        <w:t>(9) 针对“5.1.8”，车载软件升级系统无法发现其自身漏洞，需要修改表述。</w:t>
      </w:r>
    </w:p>
    <w:p>
      <w:pPr>
        <w:numPr>
          <w:ilvl w:val="2"/>
          <w:numId w:val="4"/>
        </w:numPr>
        <w:tabs>
          <w:tab w:val="left" w:pos="720"/>
        </w:tabs>
        <w:spacing w:line="240" w:lineRule="auto"/>
        <w:ind w:left="0" w:firstLine="420" w:firstLineChars="0"/>
        <w:rPr>
          <w:rFonts w:ascii="黑体" w:hAnsi="黑体" w:eastAsia="黑体"/>
          <w:bCs/>
          <w:szCs w:val="21"/>
        </w:rPr>
      </w:pPr>
      <w:r>
        <w:rPr>
          <w:rFonts w:hint="eastAsia" w:ascii="黑体" w:hAnsi="黑体" w:eastAsia="黑体"/>
          <w:bCs/>
          <w:szCs w:val="21"/>
        </w:rPr>
        <w:t>作为强制性国家标准重新立项</w:t>
      </w:r>
    </w:p>
    <w:p>
      <w:pPr>
        <w:spacing w:line="400" w:lineRule="exact"/>
        <w:ind w:firstLine="420"/>
        <w:rPr>
          <w:rFonts w:ascii="宋体" w:hAnsi="宋体"/>
          <w:szCs w:val="21"/>
        </w:rPr>
      </w:pPr>
      <w:r>
        <w:rPr>
          <w:rFonts w:ascii="宋体" w:hAnsi="宋体"/>
          <w:szCs w:val="21"/>
        </w:rPr>
        <w:t>2021</w:t>
      </w:r>
      <w:r>
        <w:rPr>
          <w:rFonts w:hint="eastAsia" w:ascii="宋体" w:hAnsi="宋体"/>
          <w:szCs w:val="21"/>
        </w:rPr>
        <w:t>年3月，由于软件升级对现行汽车管理制度带来严峻挑战且不良软件升级严重影响用户生命财产安全等问题，主管部门出于行业管理需要，要求将该推荐性国家标准项目调整为强制性国家标准项目。</w:t>
      </w:r>
    </w:p>
    <w:p>
      <w:pPr>
        <w:numPr>
          <w:ilvl w:val="2"/>
          <w:numId w:val="4"/>
        </w:numPr>
        <w:tabs>
          <w:tab w:val="left" w:pos="720"/>
        </w:tabs>
        <w:spacing w:line="240" w:lineRule="auto"/>
        <w:ind w:left="0" w:firstLine="420" w:firstLineChars="0"/>
        <w:rPr>
          <w:rFonts w:ascii="黑体" w:hAnsi="黑体" w:eastAsia="黑体"/>
          <w:bCs/>
          <w:szCs w:val="21"/>
        </w:rPr>
      </w:pPr>
      <w:r>
        <w:rPr>
          <w:rFonts w:hint="eastAsia" w:ascii="黑体" w:hAnsi="黑体" w:eastAsia="黑体"/>
          <w:bCs/>
          <w:szCs w:val="21"/>
        </w:rPr>
        <w:t>项目组第八次会议</w:t>
      </w:r>
    </w:p>
    <w:p>
      <w:pPr>
        <w:spacing w:line="400" w:lineRule="exact"/>
        <w:ind w:firstLine="420"/>
        <w:rPr>
          <w:rFonts w:ascii="宋体" w:hAnsi="宋体"/>
          <w:szCs w:val="21"/>
        </w:rPr>
      </w:pPr>
      <w:r>
        <w:rPr>
          <w:rFonts w:hint="eastAsia" w:ascii="宋体" w:hAnsi="宋体"/>
          <w:szCs w:val="21"/>
        </w:rPr>
        <w:t>汽车软件升级通用技术要求标准项目组第八次工作会议于</w:t>
      </w:r>
      <w:r>
        <w:rPr>
          <w:rFonts w:ascii="宋体" w:hAnsi="宋体"/>
          <w:szCs w:val="21"/>
        </w:rPr>
        <w:t>2021</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27</w:t>
      </w:r>
      <w:r>
        <w:rPr>
          <w:rFonts w:hint="eastAsia" w:ascii="宋体" w:hAnsi="宋体"/>
          <w:szCs w:val="21"/>
        </w:rPr>
        <w:t>日在天津召开。本次会议主要讨论该标准由推荐性国家标准调整为强制性国家标准后，标准范围、结构、内容应该如何调整。会议确认：本标准将借鉴联合国法规R</w:t>
      </w:r>
      <w:r>
        <w:rPr>
          <w:rFonts w:ascii="宋体" w:hAnsi="宋体"/>
          <w:szCs w:val="21"/>
        </w:rPr>
        <w:t>156</w:t>
      </w:r>
      <w:r>
        <w:rPr>
          <w:rFonts w:hint="eastAsia" w:ascii="宋体" w:hAnsi="宋体"/>
          <w:szCs w:val="21"/>
        </w:rPr>
        <w:t>《关于软件升级和软件升级管理系统的汽车型式批准统一规定》的思路，在满足政府管理需求和符合行业发展现状的基础上自主制定；本标准范围为适用于M类和N类车辆；本标准结构主要包括总体要求、软件升级管理体系要求、车辆要求和试验方法，并完成软件升级管理体系和车辆要求的初步草案。</w:t>
      </w:r>
    </w:p>
    <w:p>
      <w:pPr>
        <w:numPr>
          <w:ilvl w:val="2"/>
          <w:numId w:val="4"/>
        </w:numPr>
        <w:tabs>
          <w:tab w:val="left" w:pos="720"/>
        </w:tabs>
        <w:spacing w:line="240" w:lineRule="auto"/>
        <w:ind w:left="0" w:firstLine="420" w:firstLineChars="0"/>
        <w:rPr>
          <w:rFonts w:ascii="黑体" w:hAnsi="黑体" w:eastAsia="黑体"/>
          <w:bCs/>
          <w:szCs w:val="21"/>
        </w:rPr>
      </w:pPr>
      <w:r>
        <w:rPr>
          <w:rFonts w:hint="eastAsia" w:ascii="黑体" w:hAnsi="黑体" w:eastAsia="黑体"/>
          <w:bCs/>
          <w:szCs w:val="21"/>
        </w:rPr>
        <w:t>封闭写稿会议</w:t>
      </w:r>
    </w:p>
    <w:p>
      <w:pPr>
        <w:spacing w:line="400" w:lineRule="exact"/>
        <w:ind w:firstLine="420"/>
        <w:rPr>
          <w:rFonts w:hint="eastAsia" w:ascii="宋体" w:hAnsi="宋体"/>
          <w:szCs w:val="21"/>
        </w:rPr>
      </w:pPr>
      <w:r>
        <w:rPr>
          <w:rFonts w:hint="eastAsia" w:ascii="宋体" w:hAnsi="宋体"/>
          <w:szCs w:val="21"/>
        </w:rPr>
        <w:t>汽车软件升级通用技术要求标准封闭写稿会于2</w:t>
      </w:r>
      <w:r>
        <w:rPr>
          <w:rFonts w:ascii="宋体" w:hAnsi="宋体"/>
          <w:szCs w:val="21"/>
        </w:rPr>
        <w:t>021</w:t>
      </w:r>
      <w:r>
        <w:rPr>
          <w:rFonts w:hint="eastAsia" w:ascii="宋体" w:hAnsi="宋体"/>
          <w:szCs w:val="21"/>
        </w:rPr>
        <w:t>年7月2</w:t>
      </w:r>
      <w:r>
        <w:rPr>
          <w:rFonts w:ascii="宋体" w:hAnsi="宋体"/>
          <w:szCs w:val="21"/>
        </w:rPr>
        <w:t>6-29</w:t>
      </w:r>
      <w:r>
        <w:rPr>
          <w:rFonts w:hint="eastAsia" w:ascii="宋体" w:hAnsi="宋体"/>
          <w:szCs w:val="21"/>
        </w:rPr>
        <w:t>日在厦门召开。本次会议主要针对车辆要求和相应试验方法进行封闭写稿。本次会议将车辆要求分为一般要求和在线升级附加要求，并分别完成了编写工作；并且根据每条要求编制了试验用例和试验过程。会议通过了车辆要求；并同意以现有试验用例和过程为基础，继续完善试验方法，并开展验证试验。</w:t>
      </w:r>
    </w:p>
    <w:p>
      <w:pPr>
        <w:numPr>
          <w:ilvl w:val="2"/>
          <w:numId w:val="4"/>
        </w:numPr>
        <w:tabs>
          <w:tab w:val="left" w:pos="720"/>
        </w:tabs>
        <w:spacing w:line="240" w:lineRule="auto"/>
        <w:ind w:left="0" w:firstLine="420" w:firstLineChars="0"/>
        <w:rPr>
          <w:rFonts w:ascii="黑体" w:hAnsi="黑体" w:eastAsia="黑体"/>
          <w:bCs/>
          <w:szCs w:val="21"/>
        </w:rPr>
      </w:pPr>
      <w:r>
        <w:rPr>
          <w:rFonts w:hint="eastAsia" w:ascii="黑体" w:hAnsi="黑体" w:eastAsia="黑体"/>
          <w:bCs/>
          <w:szCs w:val="21"/>
        </w:rPr>
        <w:t>试验方法专题研讨会</w:t>
      </w:r>
    </w:p>
    <w:p>
      <w:pPr>
        <w:spacing w:line="400" w:lineRule="exact"/>
        <w:ind w:firstLine="420"/>
        <w:rPr>
          <w:rFonts w:ascii="宋体" w:hAnsi="宋体"/>
          <w:szCs w:val="21"/>
        </w:rPr>
      </w:pPr>
      <w:r>
        <w:rPr>
          <w:rFonts w:hint="eastAsia" w:ascii="宋体" w:hAnsi="宋体"/>
          <w:szCs w:val="21"/>
        </w:rPr>
        <w:t>汽车软件升级通用技术要求试验方法专题研讨会于2</w:t>
      </w:r>
      <w:r>
        <w:rPr>
          <w:rFonts w:ascii="宋体" w:hAnsi="宋体"/>
          <w:szCs w:val="21"/>
        </w:rPr>
        <w:t>021</w:t>
      </w:r>
      <w:r>
        <w:rPr>
          <w:rFonts w:hint="eastAsia" w:ascii="宋体" w:hAnsi="宋体"/>
          <w:szCs w:val="21"/>
        </w:rPr>
        <w:t>年9月2-</w:t>
      </w:r>
      <w:r>
        <w:rPr>
          <w:rFonts w:ascii="宋体" w:hAnsi="宋体"/>
          <w:szCs w:val="21"/>
        </w:rPr>
        <w:t>3</w:t>
      </w:r>
      <w:r>
        <w:rPr>
          <w:rFonts w:hint="eastAsia" w:ascii="宋体" w:hAnsi="宋体"/>
          <w:szCs w:val="21"/>
        </w:rPr>
        <w:t>日在天津召开。本次会议全面完善标准草案，并重点研讨和编写试验方法以形成标准草案，确定标准验证试验实施方案及工作计划。本次会议完成了试验方法的编制工作，并确定2</w:t>
      </w:r>
      <w:r>
        <w:rPr>
          <w:rFonts w:ascii="宋体" w:hAnsi="宋体"/>
          <w:szCs w:val="21"/>
        </w:rPr>
        <w:t>021</w:t>
      </w:r>
      <w:r>
        <w:rPr>
          <w:rFonts w:hint="eastAsia" w:ascii="宋体" w:hAnsi="宋体"/>
          <w:szCs w:val="21"/>
        </w:rPr>
        <w:t>年9月下旬征集试验车辆和检测机构，并计划于</w:t>
      </w:r>
      <w:r>
        <w:rPr>
          <w:rFonts w:ascii="宋体" w:hAnsi="宋体"/>
          <w:szCs w:val="21"/>
        </w:rPr>
        <w:t>10</w:t>
      </w:r>
      <w:r>
        <w:rPr>
          <w:rFonts w:hint="eastAsia" w:ascii="宋体" w:hAnsi="宋体"/>
          <w:szCs w:val="21"/>
        </w:rPr>
        <w:t>月开展验证试验。</w:t>
      </w:r>
    </w:p>
    <w:p>
      <w:pPr>
        <w:numPr>
          <w:ilvl w:val="2"/>
          <w:numId w:val="4"/>
        </w:numPr>
        <w:tabs>
          <w:tab w:val="left" w:pos="720"/>
        </w:tabs>
        <w:spacing w:line="240" w:lineRule="auto"/>
        <w:ind w:left="0" w:firstLine="420" w:firstLineChars="0"/>
        <w:rPr>
          <w:rFonts w:ascii="黑体" w:hAnsi="黑体" w:eastAsia="黑体"/>
          <w:bCs/>
          <w:szCs w:val="21"/>
        </w:rPr>
      </w:pPr>
      <w:r>
        <w:rPr>
          <w:rFonts w:hint="eastAsia" w:ascii="黑体" w:hAnsi="黑体" w:eastAsia="黑体"/>
          <w:bCs/>
          <w:szCs w:val="21"/>
        </w:rPr>
        <w:t>标准验证试验</w:t>
      </w:r>
    </w:p>
    <w:p>
      <w:pPr>
        <w:spacing w:line="400" w:lineRule="exact"/>
        <w:ind w:firstLine="420"/>
        <w:rPr>
          <w:rFonts w:hint="eastAsia" w:ascii="宋体" w:hAnsi="宋体"/>
          <w:szCs w:val="21"/>
        </w:rPr>
      </w:pPr>
      <w:r>
        <w:rPr>
          <w:rFonts w:hint="eastAsia" w:ascii="宋体" w:hAnsi="宋体"/>
          <w:szCs w:val="21"/>
        </w:rPr>
        <w:t>2</w:t>
      </w:r>
      <w:r>
        <w:rPr>
          <w:rFonts w:ascii="宋体" w:hAnsi="宋体"/>
          <w:szCs w:val="21"/>
        </w:rPr>
        <w:t>021</w:t>
      </w:r>
      <w:r>
        <w:rPr>
          <w:rFonts w:hint="eastAsia" w:ascii="宋体" w:hAnsi="宋体"/>
          <w:szCs w:val="21"/>
        </w:rPr>
        <w:t>年</w:t>
      </w:r>
      <w:r>
        <w:rPr>
          <w:rFonts w:ascii="宋体" w:hAnsi="宋体"/>
          <w:szCs w:val="21"/>
        </w:rPr>
        <w:t>9</w:t>
      </w:r>
      <w:r>
        <w:rPr>
          <w:rFonts w:hint="eastAsia" w:ascii="宋体" w:hAnsi="宋体"/>
          <w:szCs w:val="21"/>
        </w:rPr>
        <w:t>月，汽标委智能网联汽车分标委秘书处面向汽车信息安全标准工作组征集试验车辆和检测机构，共征集到1</w:t>
      </w:r>
      <w:r>
        <w:rPr>
          <w:rFonts w:ascii="宋体" w:hAnsi="宋体"/>
          <w:szCs w:val="21"/>
        </w:rPr>
        <w:t>5</w:t>
      </w:r>
      <w:r>
        <w:rPr>
          <w:rFonts w:hint="eastAsia" w:ascii="宋体" w:hAnsi="宋体"/>
          <w:szCs w:val="21"/>
        </w:rPr>
        <w:t>家汽车生产企业的试验车辆和</w:t>
      </w:r>
      <w:r>
        <w:rPr>
          <w:rFonts w:ascii="宋体" w:hAnsi="宋体"/>
          <w:szCs w:val="21"/>
        </w:rPr>
        <w:t>6</w:t>
      </w:r>
      <w:r>
        <w:rPr>
          <w:rFonts w:hint="eastAsia" w:ascii="宋体" w:hAnsi="宋体"/>
          <w:szCs w:val="21"/>
        </w:rPr>
        <w:t>家检测机构共同开展验证试验。2</w:t>
      </w:r>
      <w:r>
        <w:rPr>
          <w:rFonts w:ascii="宋体" w:hAnsi="宋体"/>
          <w:szCs w:val="21"/>
        </w:rPr>
        <w:t>021</w:t>
      </w:r>
      <w:r>
        <w:rPr>
          <w:rFonts w:hint="eastAsia" w:ascii="宋体" w:hAnsi="宋体"/>
          <w:szCs w:val="21"/>
        </w:rPr>
        <w:t>年1</w:t>
      </w:r>
      <w:r>
        <w:rPr>
          <w:rFonts w:ascii="宋体" w:hAnsi="宋体"/>
          <w:szCs w:val="21"/>
        </w:rPr>
        <w:t>0</w:t>
      </w:r>
      <w:r>
        <w:rPr>
          <w:rFonts w:hint="eastAsia" w:ascii="宋体" w:hAnsi="宋体"/>
          <w:szCs w:val="21"/>
        </w:rPr>
        <w:t>-</w:t>
      </w:r>
      <w:r>
        <w:rPr>
          <w:rFonts w:ascii="宋体" w:hAnsi="宋体"/>
          <w:szCs w:val="21"/>
        </w:rPr>
        <w:t>11</w:t>
      </w:r>
      <w:r>
        <w:rPr>
          <w:rFonts w:hint="eastAsia" w:ascii="宋体" w:hAnsi="宋体"/>
          <w:szCs w:val="21"/>
        </w:rPr>
        <w:t>月先后完成所有1</w:t>
      </w:r>
      <w:r>
        <w:rPr>
          <w:rFonts w:ascii="宋体" w:hAnsi="宋体"/>
          <w:szCs w:val="21"/>
        </w:rPr>
        <w:t>5</w:t>
      </w:r>
      <w:r>
        <w:rPr>
          <w:rFonts w:hint="eastAsia" w:ascii="宋体" w:hAnsi="宋体"/>
          <w:szCs w:val="21"/>
        </w:rPr>
        <w:t>辆车辆的标准验证试验，并总结试验过程中的经验和问题，进一步完善标准草案。</w:t>
      </w:r>
    </w:p>
    <w:p>
      <w:pPr>
        <w:numPr>
          <w:ilvl w:val="2"/>
          <w:numId w:val="4"/>
        </w:numPr>
        <w:tabs>
          <w:tab w:val="left" w:pos="720"/>
        </w:tabs>
        <w:spacing w:line="240" w:lineRule="auto"/>
        <w:ind w:left="0" w:firstLine="420" w:firstLineChars="0"/>
        <w:rPr>
          <w:rFonts w:ascii="黑体" w:hAnsi="黑体" w:eastAsia="黑体"/>
          <w:bCs/>
          <w:szCs w:val="21"/>
        </w:rPr>
      </w:pPr>
      <w:bookmarkStart w:id="20" w:name="_Hlk97880729"/>
      <w:r>
        <w:rPr>
          <w:rFonts w:hint="eastAsia" w:ascii="黑体" w:hAnsi="黑体" w:eastAsia="黑体"/>
          <w:bCs/>
          <w:szCs w:val="21"/>
        </w:rPr>
        <w:t>软件升级管理体系专题研讨会</w:t>
      </w:r>
      <w:bookmarkEnd w:id="20"/>
      <w:r>
        <w:rPr>
          <w:rFonts w:hint="eastAsia" w:ascii="黑体" w:hAnsi="黑体" w:eastAsia="黑体"/>
          <w:bCs/>
          <w:szCs w:val="21"/>
        </w:rPr>
        <w:t>议</w:t>
      </w:r>
    </w:p>
    <w:p>
      <w:pPr>
        <w:spacing w:line="400" w:lineRule="exact"/>
        <w:ind w:firstLine="420"/>
        <w:rPr>
          <w:rFonts w:hint="eastAsia" w:ascii="宋体" w:hAnsi="宋体"/>
          <w:szCs w:val="21"/>
        </w:rPr>
      </w:pPr>
      <w:r>
        <w:rPr>
          <w:rFonts w:hint="eastAsia" w:ascii="宋体" w:hAnsi="宋体"/>
          <w:szCs w:val="21"/>
        </w:rPr>
        <w:t>汽车软件升级通用技术要求软件升级管理体系专题研讨会于2</w:t>
      </w:r>
      <w:r>
        <w:rPr>
          <w:rFonts w:ascii="宋体" w:hAnsi="宋体"/>
          <w:szCs w:val="21"/>
        </w:rPr>
        <w:t>021</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1</w:t>
      </w:r>
      <w:r>
        <w:rPr>
          <w:rFonts w:hint="eastAsia" w:ascii="宋体" w:hAnsi="宋体"/>
          <w:szCs w:val="21"/>
        </w:rPr>
        <w:t>日以网络会议形式召开。本次会议全面完善标准草案，并重点研讨软件升级管理体系要求，确定软件升级管理体系试运行实施方案及工作计划。会议计划于2</w:t>
      </w:r>
      <w:r>
        <w:rPr>
          <w:rFonts w:ascii="宋体" w:hAnsi="宋体"/>
          <w:szCs w:val="21"/>
        </w:rPr>
        <w:t>021</w:t>
      </w:r>
      <w:r>
        <w:rPr>
          <w:rFonts w:hint="eastAsia" w:ascii="宋体" w:hAnsi="宋体"/>
          <w:szCs w:val="21"/>
        </w:rPr>
        <w:t>年1</w:t>
      </w:r>
      <w:r>
        <w:rPr>
          <w:rFonts w:ascii="宋体" w:hAnsi="宋体"/>
          <w:szCs w:val="21"/>
        </w:rPr>
        <w:t>2</w:t>
      </w:r>
      <w:r>
        <w:rPr>
          <w:rFonts w:hint="eastAsia" w:ascii="宋体" w:hAnsi="宋体"/>
          <w:szCs w:val="21"/>
        </w:rPr>
        <w:t>月-</w:t>
      </w:r>
      <w:r>
        <w:rPr>
          <w:rFonts w:ascii="宋体" w:hAnsi="宋体"/>
          <w:szCs w:val="21"/>
        </w:rPr>
        <w:t>2022</w:t>
      </w:r>
      <w:r>
        <w:rPr>
          <w:rFonts w:hint="eastAsia" w:ascii="宋体" w:hAnsi="宋体"/>
          <w:szCs w:val="21"/>
        </w:rPr>
        <w:t>年1月，采用带三方审核和企业自我验证相结合的方式，开展软件升级管理体系试运行。</w:t>
      </w:r>
    </w:p>
    <w:p>
      <w:pPr>
        <w:numPr>
          <w:ilvl w:val="2"/>
          <w:numId w:val="4"/>
        </w:numPr>
        <w:tabs>
          <w:tab w:val="left" w:pos="720"/>
        </w:tabs>
        <w:spacing w:line="240" w:lineRule="auto"/>
        <w:ind w:left="0" w:firstLine="420" w:firstLineChars="0"/>
        <w:rPr>
          <w:rFonts w:ascii="黑体" w:hAnsi="黑体" w:eastAsia="黑体"/>
          <w:bCs/>
          <w:szCs w:val="21"/>
        </w:rPr>
      </w:pPr>
      <w:r>
        <w:rPr>
          <w:rFonts w:hint="eastAsia" w:ascii="黑体" w:hAnsi="黑体" w:eastAsia="黑体"/>
          <w:bCs/>
          <w:szCs w:val="21"/>
        </w:rPr>
        <w:t>标准验证试验</w:t>
      </w:r>
    </w:p>
    <w:p>
      <w:pPr>
        <w:spacing w:line="400" w:lineRule="exact"/>
        <w:ind w:firstLine="420"/>
        <w:rPr>
          <w:rFonts w:hint="eastAsia" w:ascii="宋体" w:hAnsi="宋体"/>
          <w:szCs w:val="21"/>
        </w:rPr>
      </w:pPr>
      <w:r>
        <w:rPr>
          <w:rFonts w:hint="eastAsia" w:ascii="宋体" w:hAnsi="宋体"/>
          <w:szCs w:val="21"/>
        </w:rPr>
        <w:t>2</w:t>
      </w:r>
      <w:r>
        <w:rPr>
          <w:rFonts w:ascii="宋体" w:hAnsi="宋体"/>
          <w:szCs w:val="21"/>
        </w:rPr>
        <w:t>021</w:t>
      </w:r>
      <w:r>
        <w:rPr>
          <w:rFonts w:hint="eastAsia" w:ascii="宋体" w:hAnsi="宋体"/>
          <w:szCs w:val="21"/>
        </w:rPr>
        <w:t>年</w:t>
      </w:r>
      <w:r>
        <w:rPr>
          <w:rFonts w:ascii="宋体" w:hAnsi="宋体"/>
          <w:szCs w:val="21"/>
        </w:rPr>
        <w:t>12</w:t>
      </w:r>
      <w:r>
        <w:rPr>
          <w:rFonts w:hint="eastAsia" w:ascii="宋体" w:hAnsi="宋体"/>
          <w:szCs w:val="21"/>
        </w:rPr>
        <w:t>月，汽标委智能网联汽车分标委秘书处面向汽车信息安全标准工作组征集软件升级管理体系试运行参与单位和检测机构，共征集到</w:t>
      </w:r>
      <w:r>
        <w:rPr>
          <w:rFonts w:ascii="宋体" w:hAnsi="宋体"/>
          <w:szCs w:val="21"/>
        </w:rPr>
        <w:t>27</w:t>
      </w:r>
      <w:r>
        <w:rPr>
          <w:rFonts w:hint="eastAsia" w:ascii="宋体" w:hAnsi="宋体"/>
          <w:szCs w:val="21"/>
        </w:rPr>
        <w:t>家汽车生产企业和</w:t>
      </w:r>
      <w:r>
        <w:rPr>
          <w:rFonts w:ascii="宋体" w:hAnsi="宋体"/>
          <w:szCs w:val="21"/>
        </w:rPr>
        <w:t>6</w:t>
      </w:r>
      <w:r>
        <w:rPr>
          <w:rFonts w:hint="eastAsia" w:ascii="宋体" w:hAnsi="宋体"/>
          <w:szCs w:val="21"/>
        </w:rPr>
        <w:t>家检测机构共同开展软件升级管理体系试运行工作。2</w:t>
      </w:r>
      <w:r>
        <w:rPr>
          <w:rFonts w:ascii="宋体" w:hAnsi="宋体"/>
          <w:szCs w:val="21"/>
        </w:rPr>
        <w:t>021</w:t>
      </w:r>
      <w:r>
        <w:rPr>
          <w:rFonts w:hint="eastAsia" w:ascii="宋体" w:hAnsi="宋体"/>
          <w:szCs w:val="21"/>
        </w:rPr>
        <w:t>年</w:t>
      </w:r>
      <w:r>
        <w:rPr>
          <w:rFonts w:ascii="宋体" w:hAnsi="宋体"/>
          <w:szCs w:val="21"/>
        </w:rPr>
        <w:t>12</w:t>
      </w:r>
      <w:r>
        <w:rPr>
          <w:rFonts w:hint="eastAsia" w:ascii="宋体" w:hAnsi="宋体"/>
          <w:szCs w:val="21"/>
        </w:rPr>
        <w:t>月至</w:t>
      </w:r>
      <w:r>
        <w:rPr>
          <w:rFonts w:ascii="宋体" w:hAnsi="宋体"/>
          <w:szCs w:val="21"/>
        </w:rPr>
        <w:t>2022</w:t>
      </w:r>
      <w:r>
        <w:rPr>
          <w:rFonts w:hint="eastAsia" w:ascii="宋体" w:hAnsi="宋体"/>
          <w:szCs w:val="21"/>
        </w:rPr>
        <w:t>年1月先后完成所有</w:t>
      </w:r>
      <w:r>
        <w:rPr>
          <w:rFonts w:ascii="宋体" w:hAnsi="宋体"/>
          <w:szCs w:val="21"/>
        </w:rPr>
        <w:t>27</w:t>
      </w:r>
      <w:r>
        <w:rPr>
          <w:rFonts w:hint="eastAsia" w:ascii="宋体" w:hAnsi="宋体"/>
          <w:szCs w:val="21"/>
        </w:rPr>
        <w:t>家企业的软件升级管理体系试运行工作，并总结试验过程中的经验和问题，进一步完善标准草案。</w:t>
      </w:r>
    </w:p>
    <w:p>
      <w:pPr>
        <w:numPr>
          <w:ilvl w:val="2"/>
          <w:numId w:val="4"/>
        </w:numPr>
        <w:tabs>
          <w:tab w:val="left" w:pos="720"/>
        </w:tabs>
        <w:spacing w:line="240" w:lineRule="auto"/>
        <w:ind w:left="0" w:firstLine="420" w:firstLineChars="0"/>
        <w:rPr>
          <w:rFonts w:ascii="黑体" w:hAnsi="黑体" w:eastAsia="黑体"/>
          <w:bCs/>
          <w:szCs w:val="21"/>
        </w:rPr>
      </w:pPr>
      <w:r>
        <w:rPr>
          <w:rFonts w:hint="eastAsia" w:ascii="黑体" w:hAnsi="黑体" w:eastAsia="黑体"/>
          <w:bCs/>
          <w:szCs w:val="21"/>
        </w:rPr>
        <w:t>工作组意见协调会</w:t>
      </w:r>
    </w:p>
    <w:p>
      <w:pPr>
        <w:spacing w:line="400" w:lineRule="exact"/>
        <w:ind w:firstLine="420"/>
        <w:rPr>
          <w:rFonts w:hint="eastAsia" w:ascii="宋体" w:hAnsi="宋体"/>
          <w:szCs w:val="21"/>
        </w:rPr>
      </w:pPr>
      <w:r>
        <w:rPr>
          <w:rFonts w:hint="eastAsia" w:ascii="宋体" w:hAnsi="宋体"/>
          <w:szCs w:val="21"/>
        </w:rPr>
        <w:t>2022年3月，形成工作组征求意见稿，并面向汽标委智能网联汽车分标委汽车信息安全标准工作组100余家单位征求时间。本次反馈意见共计收到40余家单位的256条反馈意见，会议全体成员</w:t>
      </w:r>
      <w:r>
        <w:rPr>
          <w:rFonts w:hint="eastAsia" w:ascii="宋体" w:hAnsi="宋体"/>
          <w:szCs w:val="21"/>
        </w:rPr>
        <w:t>根据反馈意见进行了讨论处理，协调结果如下：采纳63条，不采纳105条，部分采纳88条，并根据相关意见对标准公开征求意见稿和编制说明进行了修改。</w:t>
      </w:r>
    </w:p>
    <w:p>
      <w:pPr>
        <w:autoSpaceDE w:val="0"/>
        <w:autoSpaceDN w:val="0"/>
        <w:adjustRightInd w:val="0"/>
        <w:spacing w:line="400" w:lineRule="exact"/>
        <w:ind w:firstLine="480"/>
        <w:jc w:val="left"/>
        <w:outlineLvl w:val="0"/>
        <w:rPr>
          <w:rFonts w:eastAsia="黑体"/>
          <w:bCs/>
          <w:color w:val="000000"/>
          <w:kern w:val="0"/>
          <w:sz w:val="24"/>
        </w:rPr>
      </w:pPr>
      <w:bookmarkStart w:id="21" w:name="_Toc64898476"/>
      <w:r>
        <w:rPr>
          <w:rFonts w:hint="eastAsia" w:eastAsia="黑体"/>
          <w:bCs/>
          <w:color w:val="000000"/>
          <w:kern w:val="0"/>
          <w:sz w:val="24"/>
        </w:rPr>
        <w:t>二、</w:t>
      </w:r>
      <w:r>
        <w:rPr>
          <w:rFonts w:eastAsia="黑体"/>
          <w:bCs/>
          <w:color w:val="000000"/>
          <w:kern w:val="0"/>
          <w:sz w:val="24"/>
        </w:rPr>
        <w:t>编制原则、强制性国家标准主要技术要求的依据及理由</w:t>
      </w:r>
      <w:bookmarkEnd w:id="21"/>
    </w:p>
    <w:p>
      <w:pPr>
        <w:spacing w:line="400" w:lineRule="exact"/>
        <w:ind w:firstLine="420"/>
        <w:rPr>
          <w:rFonts w:hint="eastAsia" w:ascii="宋体" w:hAnsi="宋体"/>
          <w:szCs w:val="21"/>
        </w:rPr>
      </w:pPr>
      <w:r>
        <w:rPr>
          <w:rFonts w:hint="eastAsia" w:ascii="宋体" w:hAnsi="宋体"/>
          <w:szCs w:val="21"/>
        </w:rPr>
        <w:t>本文件编写符合 GB/T 1.1—2020《标准化工作导则 第 1 部分：标准化文件的结构和起草规则》的规定起草。起草过程，充分考虑国内外现有相关标准的统一和协调；标准的要求充分考虑了国内当前的行业技术水平，对草案内容进行多次征求意见和充分讨论。</w:t>
      </w:r>
    </w:p>
    <w:p>
      <w:pPr>
        <w:autoSpaceDE w:val="0"/>
        <w:autoSpaceDN w:val="0"/>
        <w:adjustRightInd w:val="0"/>
        <w:spacing w:line="400" w:lineRule="exact"/>
        <w:ind w:firstLine="422"/>
        <w:jc w:val="left"/>
        <w:outlineLvl w:val="0"/>
        <w:rPr>
          <w:b/>
          <w:szCs w:val="21"/>
        </w:rPr>
      </w:pPr>
      <w:r>
        <w:rPr>
          <w:rFonts w:hint="eastAsia"/>
          <w:b/>
          <w:szCs w:val="21"/>
        </w:rPr>
        <w:t>（一）</w:t>
      </w:r>
      <w:r>
        <w:rPr>
          <w:b/>
          <w:szCs w:val="21"/>
        </w:rPr>
        <w:t>适用范围</w:t>
      </w:r>
    </w:p>
    <w:p>
      <w:pPr>
        <w:spacing w:line="400" w:lineRule="exact"/>
        <w:ind w:firstLine="420"/>
        <w:rPr>
          <w:rFonts w:hint="eastAsia" w:ascii="宋体" w:hAnsi="宋体"/>
          <w:szCs w:val="21"/>
        </w:rPr>
      </w:pPr>
      <w:r>
        <w:rPr>
          <w:rFonts w:hint="eastAsia" w:ascii="宋体" w:hAnsi="宋体"/>
          <w:szCs w:val="21"/>
        </w:rPr>
        <w:t>本文件规定了汽车软件升级的管理体系要求、车辆要求、试验方法、车辆型式的变更和扩展、说明书。</w:t>
      </w:r>
    </w:p>
    <w:p>
      <w:pPr>
        <w:spacing w:line="400" w:lineRule="exact"/>
        <w:ind w:firstLine="420"/>
        <w:rPr>
          <w:rFonts w:hint="eastAsia" w:ascii="宋体" w:hAnsi="宋体"/>
          <w:szCs w:val="21"/>
        </w:rPr>
      </w:pPr>
      <w:r>
        <w:rPr>
          <w:rFonts w:hint="eastAsia" w:ascii="宋体" w:hAnsi="宋体"/>
          <w:szCs w:val="21"/>
        </w:rPr>
        <w:t>本文件适用于M类、N类汽车，其他车辆类型可参照执行。</w:t>
      </w:r>
    </w:p>
    <w:p>
      <w:pPr>
        <w:autoSpaceDE w:val="0"/>
        <w:autoSpaceDN w:val="0"/>
        <w:adjustRightInd w:val="0"/>
        <w:spacing w:line="400" w:lineRule="exact"/>
        <w:ind w:firstLine="422"/>
        <w:jc w:val="left"/>
        <w:outlineLvl w:val="0"/>
        <w:rPr>
          <w:b/>
          <w:szCs w:val="21"/>
        </w:rPr>
      </w:pPr>
      <w:r>
        <w:rPr>
          <w:rFonts w:hint="eastAsia"/>
          <w:b/>
          <w:szCs w:val="21"/>
        </w:rPr>
        <w:t>（二）主要技术内容</w:t>
      </w:r>
    </w:p>
    <w:p>
      <w:pPr>
        <w:pStyle w:val="24"/>
        <w:keepNext w:val="0"/>
        <w:keepLines w:val="0"/>
        <w:pageBreakBefore w:val="0"/>
        <w:widowControl w:val="0"/>
        <w:numPr>
          <w:ilvl w:val="0"/>
          <w:numId w:val="5"/>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条款4.1.2　对于每次软件升级，车辆制造商应记录并安全存储4.3要求的相关信息，该信息应至少保存至车辆型号停产后10年。</w:t>
      </w:r>
    </w:p>
    <w:p>
      <w:pPr>
        <w:keepNext w:val="0"/>
        <w:keepLines w:val="0"/>
        <w:pageBreakBefore w:val="0"/>
        <w:widowControl w:val="0"/>
        <w:tabs>
          <w:tab w:val="left" w:pos="1680"/>
        </w:tabs>
        <w:kinsoku/>
        <w:wordWrap/>
        <w:overflowPunct/>
        <w:topLinePunct w:val="0"/>
        <w:bidi w:val="0"/>
        <w:snapToGrid/>
        <w:spacing w:line="400" w:lineRule="exact"/>
        <w:ind w:firstLine="420"/>
        <w:textAlignment w:val="auto"/>
        <w:rPr>
          <w:rFonts w:hint="eastAsia" w:ascii="黑体" w:hAnsi="黑体" w:eastAsia="黑体"/>
          <w:szCs w:val="21"/>
        </w:rPr>
      </w:pPr>
      <w:r>
        <w:rPr>
          <w:rFonts w:hint="eastAsia" w:ascii="黑体" w:hAnsi="黑体" w:eastAsia="黑体"/>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szCs w:val="21"/>
        </w:rPr>
      </w:pPr>
      <w:r>
        <w:rPr>
          <w:rFonts w:hint="eastAsia" w:ascii="宋体" w:hAnsi="宋体"/>
          <w:szCs w:val="21"/>
        </w:rPr>
        <w:t>车辆制造商应说明其用于记录和存储4.3要求的信息的过程/程序，以及保护这些信息的方法。“每次软件升级”指与准入或认证相关的和无关的所有升级；“安全”主要指信息安全，结果应该是，车辆制造商能够保证所有相关文件/信息都将被存储，且其具备适当的安全控制措施来保护这些信息。</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bCs/>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bCs/>
          <w:szCs w:val="21"/>
        </w:rPr>
      </w:pPr>
      <w:r>
        <w:rPr>
          <w:rFonts w:hint="eastAsia" w:ascii="宋体" w:hAnsi="宋体"/>
          <w:bCs/>
          <w:szCs w:val="21"/>
        </w:rPr>
        <w:t>为</w:t>
      </w:r>
      <w:r>
        <w:rPr>
          <w:rFonts w:ascii="宋体" w:hAnsi="宋体"/>
          <w:bCs/>
          <w:szCs w:val="21"/>
        </w:rPr>
        <w:t>了证明信息得到安全保存，可以使用</w:t>
      </w:r>
      <w:r>
        <w:rPr>
          <w:rFonts w:hint="eastAsia" w:ascii="宋体" w:hAnsi="宋体"/>
          <w:bCs/>
          <w:szCs w:val="21"/>
        </w:rPr>
        <w:t>国家/行业/</w:t>
      </w:r>
      <w:r>
        <w:rPr>
          <w:rFonts w:ascii="宋体" w:hAnsi="宋体"/>
          <w:bCs/>
          <w:szCs w:val="21"/>
        </w:rPr>
        <w:t>国际标准。所提供的信息</w:t>
      </w:r>
      <w:r>
        <w:rPr>
          <w:rFonts w:hint="eastAsia" w:ascii="宋体" w:hAnsi="宋体"/>
          <w:bCs/>
          <w:szCs w:val="21"/>
        </w:rPr>
        <w:t>可能</w:t>
      </w:r>
      <w:r>
        <w:rPr>
          <w:rFonts w:ascii="宋体" w:hAnsi="宋体"/>
          <w:bCs/>
          <w:szCs w:val="21"/>
        </w:rPr>
        <w:t>包括：</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0" w:firstLineChars="0"/>
        <w:textAlignment w:val="auto"/>
        <w:rPr>
          <w:rFonts w:ascii="宋体" w:hAnsi="宋体"/>
          <w:bCs/>
          <w:szCs w:val="21"/>
        </w:rPr>
      </w:pPr>
      <w:r>
        <w:rPr>
          <w:rFonts w:ascii="宋体" w:hAnsi="宋体"/>
          <w:bCs/>
          <w:szCs w:val="21"/>
        </w:rPr>
        <w:t>访问控制（物理和个人）；</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0" w:firstLineChars="0"/>
        <w:textAlignment w:val="auto"/>
        <w:rPr>
          <w:rFonts w:ascii="宋体" w:hAnsi="宋体"/>
          <w:bCs/>
          <w:szCs w:val="21"/>
        </w:rPr>
      </w:pPr>
      <w:r>
        <w:rPr>
          <w:rFonts w:ascii="宋体" w:hAnsi="宋体"/>
          <w:bCs/>
          <w:szCs w:val="21"/>
        </w:rPr>
        <w:t>确保保存信息的服务器安全的控制措施；</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0" w:firstLineChars="0"/>
        <w:textAlignment w:val="auto"/>
        <w:rPr>
          <w:rFonts w:ascii="宋体" w:hAnsi="宋体"/>
          <w:bCs/>
          <w:szCs w:val="21"/>
        </w:rPr>
      </w:pPr>
      <w:r>
        <w:rPr>
          <w:rFonts w:ascii="宋体" w:hAnsi="宋体"/>
          <w:bCs/>
          <w:szCs w:val="21"/>
        </w:rPr>
        <w:t>监测控制措施；</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0" w:firstLineChars="0"/>
        <w:textAlignment w:val="auto"/>
        <w:rPr>
          <w:rFonts w:ascii="宋体" w:hAnsi="宋体"/>
          <w:bCs/>
          <w:szCs w:val="21"/>
        </w:rPr>
      </w:pPr>
      <w:r>
        <w:rPr>
          <w:rFonts w:ascii="宋体" w:hAnsi="宋体"/>
          <w:bCs/>
          <w:szCs w:val="21"/>
        </w:rPr>
        <w:t>配置控制措施；</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0" w:firstLineChars="0"/>
        <w:textAlignment w:val="auto"/>
        <w:rPr>
          <w:rFonts w:ascii="宋体" w:hAnsi="宋体"/>
          <w:bCs/>
          <w:szCs w:val="21"/>
        </w:rPr>
      </w:pPr>
      <w:r>
        <w:rPr>
          <w:rFonts w:ascii="宋体" w:hAnsi="宋体"/>
          <w:bCs/>
          <w:szCs w:val="21"/>
        </w:rPr>
        <w:t>质量控制措施/所采用的质量管理</w:t>
      </w:r>
      <w:r>
        <w:rPr>
          <w:rFonts w:hint="eastAsia" w:ascii="宋体" w:hAnsi="宋体"/>
          <w:bCs/>
          <w:szCs w:val="21"/>
        </w:rPr>
        <w:t>体系。</w:t>
      </w:r>
    </w:p>
    <w:p>
      <w:pPr>
        <w:pStyle w:val="24"/>
        <w:keepNext w:val="0"/>
        <w:keepLines w:val="0"/>
        <w:pageBreakBefore w:val="0"/>
        <w:widowControl w:val="0"/>
        <w:numPr>
          <w:ilvl w:val="0"/>
          <w:numId w:val="5"/>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条款4.1.3　对于具有软件识别码的车型，车辆制造商应确保：</w:t>
      </w:r>
    </w:p>
    <w:p>
      <w:pPr>
        <w:keepNext w:val="0"/>
        <w:keepLines w:val="0"/>
        <w:pageBreakBefore w:val="0"/>
        <w:widowControl w:val="0"/>
        <w:kinsoku/>
        <w:wordWrap/>
        <w:overflowPunct/>
        <w:topLinePunct w:val="0"/>
        <w:bidi w:val="0"/>
        <w:snapToGrid/>
        <w:spacing w:line="400" w:lineRule="exact"/>
        <w:ind w:left="1701" w:leftChars="406" w:hanging="848" w:hangingChars="404"/>
        <w:textAlignment w:val="auto"/>
        <w:rPr>
          <w:rFonts w:hint="eastAsia" w:ascii="黑体" w:hAnsi="黑体" w:eastAsia="黑体"/>
          <w:bCs/>
          <w:szCs w:val="21"/>
        </w:rPr>
      </w:pPr>
      <w:r>
        <w:rPr>
          <w:rFonts w:hint="eastAsia" w:ascii="黑体" w:hAnsi="黑体" w:eastAsia="黑体"/>
          <w:bCs/>
          <w:szCs w:val="21"/>
        </w:rPr>
        <w:t>a)每个软件识别码是唯一可识别的；</w:t>
      </w:r>
    </w:p>
    <w:p>
      <w:pPr>
        <w:keepNext w:val="0"/>
        <w:keepLines w:val="0"/>
        <w:pageBreakBefore w:val="0"/>
        <w:widowControl w:val="0"/>
        <w:kinsoku/>
        <w:wordWrap/>
        <w:overflowPunct/>
        <w:topLinePunct w:val="0"/>
        <w:bidi w:val="0"/>
        <w:snapToGrid/>
        <w:spacing w:line="400" w:lineRule="exact"/>
        <w:ind w:left="1701" w:leftChars="406" w:hanging="848" w:hangingChars="404"/>
        <w:textAlignment w:val="auto"/>
        <w:rPr>
          <w:rFonts w:ascii="宋体" w:hAnsi="宋体"/>
          <w:bCs/>
          <w:szCs w:val="21"/>
        </w:rPr>
      </w:pPr>
      <w:r>
        <w:rPr>
          <w:rFonts w:hint="eastAsia" w:ascii="黑体" w:hAnsi="黑体" w:eastAsia="黑体"/>
          <w:bCs/>
          <w:szCs w:val="21"/>
        </w:rPr>
        <w:t>b)对准入或认证相关系统进行软件升级时，同步更新软件识别码。</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黑体" w:hAnsi="黑体" w:eastAsia="黑体"/>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车辆制造商应演示并证明以下内容：</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cs="宋体"/>
          <w:bCs/>
          <w:szCs w:val="21"/>
        </w:rPr>
        <w:t>如何为给定车型生成软件识别码，并保证软件识别码的唯一性；每个软件识别码与其相应的准入或认证要求存在对应关系，以及如何识别该对应关系；当准入或认证相关系统进行软件升级时，如何保障同步更新软件识别码。</w:t>
      </w:r>
    </w:p>
    <w:p>
      <w:pPr>
        <w:keepNext w:val="0"/>
        <w:keepLines w:val="0"/>
        <w:pageBreakBefore w:val="0"/>
        <w:widowControl w:val="0"/>
        <w:kinsoku/>
        <w:wordWrap/>
        <w:overflowPunct/>
        <w:topLinePunct w:val="0"/>
        <w:bidi w:val="0"/>
        <w:snapToGrid/>
        <w:spacing w:line="400" w:lineRule="exact"/>
        <w:ind w:firstLine="0" w:firstLineChars="0"/>
        <w:textAlignment w:val="auto"/>
        <w:rPr>
          <w:rFonts w:hint="eastAsia"/>
        </w:rPr>
      </w:pPr>
      <w:r>
        <w:rPr>
          <w:rFonts w:hint="eastAsia" w:ascii="黑体" w:hAnsi="黑体" w:eastAsia="黑体"/>
          <w:bCs/>
          <w:szCs w:val="21"/>
        </w:rPr>
        <w:t>3</w:t>
      </w:r>
      <w:r>
        <w:rPr>
          <w:rFonts w:ascii="黑体" w:hAnsi="黑体" w:eastAsia="黑体"/>
          <w:bCs/>
          <w:szCs w:val="21"/>
        </w:rPr>
        <w:t>.</w:t>
      </w:r>
      <w:r>
        <w:rPr>
          <w:rFonts w:ascii="黑体" w:hAnsi="黑体" w:eastAsia="黑体"/>
          <w:bCs/>
          <w:szCs w:val="21"/>
        </w:rPr>
        <w:tab/>
      </w:r>
      <w:r>
        <w:rPr>
          <w:rFonts w:hint="eastAsia" w:ascii="黑体" w:hAnsi="黑体" w:eastAsia="黑体"/>
          <w:bCs/>
          <w:szCs w:val="21"/>
        </w:rPr>
        <w:t>条款4.1.4　若车辆未存储软件识别码，车辆制造商应确保：</w:t>
      </w:r>
    </w:p>
    <w:p>
      <w:pPr>
        <w:keepNext w:val="0"/>
        <w:keepLines w:val="0"/>
        <w:pageBreakBefore w:val="0"/>
        <w:widowControl w:val="0"/>
        <w:kinsoku/>
        <w:wordWrap/>
        <w:overflowPunct/>
        <w:topLinePunct w:val="0"/>
        <w:bidi w:val="0"/>
        <w:snapToGrid/>
        <w:spacing w:line="400" w:lineRule="exact"/>
        <w:ind w:left="1417" w:leftChars="406" w:hanging="564" w:hangingChars="269"/>
        <w:textAlignment w:val="auto"/>
        <w:rPr>
          <w:rFonts w:hint="eastAsia" w:ascii="黑体" w:hAnsi="黑体" w:eastAsia="黑体"/>
          <w:bCs/>
          <w:szCs w:val="21"/>
        </w:rPr>
      </w:pPr>
      <w:r>
        <w:rPr>
          <w:rFonts w:hint="eastAsia" w:ascii="黑体" w:hAnsi="黑体" w:eastAsia="黑体"/>
          <w:bCs/>
          <w:szCs w:val="21"/>
        </w:rPr>
        <w:t>a)声明与准入或认证相关的电子控制单元（ECU）的软件版本；</w:t>
      </w:r>
    </w:p>
    <w:p>
      <w:pPr>
        <w:keepNext w:val="0"/>
        <w:keepLines w:val="0"/>
        <w:pageBreakBefore w:val="0"/>
        <w:widowControl w:val="0"/>
        <w:kinsoku/>
        <w:wordWrap/>
        <w:overflowPunct/>
        <w:topLinePunct w:val="0"/>
        <w:bidi w:val="0"/>
        <w:snapToGrid/>
        <w:spacing w:line="400" w:lineRule="exact"/>
        <w:ind w:left="1417" w:leftChars="406" w:hanging="564" w:hangingChars="269"/>
        <w:textAlignment w:val="auto"/>
        <w:rPr>
          <w:rFonts w:hint="eastAsia" w:ascii="黑体" w:hAnsi="黑体" w:eastAsia="黑体"/>
          <w:bCs/>
          <w:szCs w:val="21"/>
        </w:rPr>
      </w:pPr>
      <w:r>
        <w:rPr>
          <w:rFonts w:hint="eastAsia" w:ascii="黑体" w:hAnsi="黑体" w:eastAsia="黑体"/>
          <w:bCs/>
          <w:szCs w:val="21"/>
        </w:rPr>
        <w:t>b)对所声明软件版本进行软件升级时，同步更新a）中的声明。</w:t>
      </w:r>
    </w:p>
    <w:p>
      <w:pPr>
        <w:keepNext w:val="0"/>
        <w:keepLines w:val="0"/>
        <w:pageBreakBefore w:val="0"/>
        <w:widowControl w:val="0"/>
        <w:kinsoku/>
        <w:wordWrap/>
        <w:overflowPunct/>
        <w:topLinePunct w:val="0"/>
        <w:bidi w:val="0"/>
        <w:snapToGrid/>
        <w:spacing w:line="400" w:lineRule="exact"/>
        <w:ind w:firstLine="420"/>
        <w:textAlignment w:val="auto"/>
        <w:rPr>
          <w:rFonts w:ascii="黑体" w:hAnsi="黑体" w:eastAsia="黑体"/>
          <w:szCs w:val="21"/>
        </w:rPr>
      </w:pPr>
      <w:r>
        <w:rPr>
          <w:rFonts w:hint="eastAsia" w:ascii="黑体" w:hAnsi="黑体" w:eastAsia="黑体"/>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无论车型是否具备软件识别码，只要车辆未存储识别码，车辆制造商应演示并证明：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车辆的哪些电子控制单元（</w:t>
      </w:r>
      <w:r>
        <w:rPr>
          <w:rFonts w:hint="eastAsia" w:ascii="宋体" w:hAnsi="宋体" w:cs="宋体"/>
          <w:bCs/>
          <w:szCs w:val="21"/>
        </w:rPr>
        <w:t>ECU</w:t>
      </w:r>
      <w:r>
        <w:rPr>
          <w:rFonts w:hint="eastAsia" w:ascii="宋体" w:hAnsi="宋体"/>
          <w:bCs/>
          <w:szCs w:val="21"/>
        </w:rPr>
        <w:t>）与准入或认证有相关性，以及如何识别对应关系；</w:t>
      </w:r>
      <w:r>
        <w:rPr>
          <w:rFonts w:hint="eastAsia" w:ascii="宋体" w:hAnsi="宋体" w:cs="宋体"/>
          <w:bCs/>
          <w:szCs w:val="21"/>
        </w:rPr>
        <w:t>当准入或认证相关系统进行软件升级时，如何保障同步更新声明。</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条款4.2.1　应具备唯一地标识准入或认证相关系统所有初始和更新版本的软件（至少包括完整性验证数据）以及相关硬件部件的过程。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rPr>
      </w:pPr>
      <w:r>
        <w:rPr>
          <w:rFonts w:hint="eastAsia" w:ascii="宋体" w:hAnsi="宋体" w:cs="宋体"/>
          <w:bCs/>
          <w:szCs w:val="21"/>
        </w:rPr>
        <w:t>车辆制造商应使用配置控制</w:t>
      </w:r>
      <w:r>
        <w:rPr>
          <w:rFonts w:hint="eastAsia" w:ascii="宋体" w:hAnsi="宋体"/>
          <w:bCs/>
          <w:szCs w:val="21"/>
        </w:rPr>
        <w:t>过程/程序，唯一地标识出与准入或认证相关系统中的初始版本、更新版本的软件信息，其中“完整性验证数据”</w:t>
      </w:r>
      <w:r>
        <w:rPr>
          <w:rFonts w:hint="eastAsia"/>
        </w:rPr>
        <w:t>指车辆制造商将软件识别为其声明的软件版本的方法。“唯一地标识”是指车辆制造商至少可以基于软件信息去识别和验证软件。“相关硬件部件”是指准入或认证相关系统中搭载软件的硬件。</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条款4.2.2　对于具有软件识别码的车型，应具备：</w:t>
      </w:r>
    </w:p>
    <w:p>
      <w:pPr>
        <w:keepNext w:val="0"/>
        <w:keepLines w:val="0"/>
        <w:pageBreakBefore w:val="0"/>
        <w:widowControl w:val="0"/>
        <w:kinsoku/>
        <w:wordWrap/>
        <w:overflowPunct/>
        <w:topLinePunct w:val="0"/>
        <w:bidi w:val="0"/>
        <w:snapToGrid/>
        <w:spacing w:line="400" w:lineRule="exact"/>
        <w:ind w:left="1275" w:leftChars="406" w:hanging="422" w:hangingChars="201"/>
        <w:textAlignment w:val="auto"/>
        <w:rPr>
          <w:rFonts w:hint="eastAsia" w:ascii="黑体" w:hAnsi="黑体" w:eastAsia="黑体"/>
          <w:bCs/>
          <w:szCs w:val="21"/>
        </w:rPr>
      </w:pPr>
      <w:r>
        <w:rPr>
          <w:rFonts w:hint="eastAsia" w:ascii="黑体" w:hAnsi="黑体" w:eastAsia="黑体"/>
          <w:bCs/>
          <w:szCs w:val="21"/>
        </w:rPr>
        <w:t>a)</w:t>
      </w:r>
      <w:r>
        <w:rPr>
          <w:rFonts w:hint="eastAsia" w:ascii="黑体" w:hAnsi="黑体" w:eastAsia="黑体"/>
          <w:bCs/>
          <w:szCs w:val="21"/>
        </w:rPr>
        <w:tab/>
      </w:r>
      <w:r>
        <w:rPr>
          <w:rFonts w:hint="eastAsia" w:ascii="黑体" w:hAnsi="黑体" w:eastAsia="黑体"/>
          <w:bCs/>
          <w:szCs w:val="21"/>
        </w:rPr>
        <w:t>在软件升级前后，能访问软件识别码相关信息的过程；</w:t>
      </w:r>
    </w:p>
    <w:p>
      <w:pPr>
        <w:keepNext w:val="0"/>
        <w:keepLines w:val="0"/>
        <w:pageBreakBefore w:val="0"/>
        <w:widowControl w:val="0"/>
        <w:kinsoku/>
        <w:wordWrap/>
        <w:overflowPunct/>
        <w:topLinePunct w:val="0"/>
        <w:bidi w:val="0"/>
        <w:snapToGrid/>
        <w:spacing w:line="400" w:lineRule="exact"/>
        <w:ind w:left="1275" w:leftChars="406" w:hanging="422" w:hangingChars="201"/>
        <w:textAlignment w:val="auto"/>
        <w:rPr>
          <w:rFonts w:hint="eastAsia" w:ascii="黑体" w:hAnsi="黑体" w:eastAsia="黑体"/>
          <w:bCs/>
          <w:szCs w:val="21"/>
        </w:rPr>
      </w:pPr>
      <w:r>
        <w:rPr>
          <w:rFonts w:hint="eastAsia" w:ascii="黑体" w:hAnsi="黑体" w:eastAsia="黑体"/>
          <w:bCs/>
          <w:szCs w:val="21"/>
        </w:rPr>
        <w:t>b)</w:t>
      </w:r>
      <w:r>
        <w:rPr>
          <w:rFonts w:hint="eastAsia" w:ascii="黑体" w:hAnsi="黑体" w:eastAsia="黑体"/>
          <w:bCs/>
          <w:szCs w:val="21"/>
        </w:rPr>
        <w:tab/>
      </w:r>
      <w:r>
        <w:rPr>
          <w:rFonts w:hint="eastAsia" w:ascii="黑体" w:hAnsi="黑体" w:eastAsia="黑体"/>
          <w:bCs/>
          <w:szCs w:val="21"/>
        </w:rPr>
        <w:t>在软件升级后，能更新软件识别码相关信息的过程，至少更新所有相关软件的版本及完整性验证数据；</w:t>
      </w:r>
    </w:p>
    <w:p>
      <w:pPr>
        <w:keepNext w:val="0"/>
        <w:keepLines w:val="0"/>
        <w:pageBreakBefore w:val="0"/>
        <w:widowControl w:val="0"/>
        <w:kinsoku/>
        <w:wordWrap/>
        <w:overflowPunct/>
        <w:topLinePunct w:val="0"/>
        <w:bidi w:val="0"/>
        <w:snapToGrid/>
        <w:spacing w:line="400" w:lineRule="exact"/>
        <w:ind w:left="1275" w:leftChars="406" w:hanging="422" w:hangingChars="201"/>
        <w:textAlignment w:val="auto"/>
        <w:rPr>
          <w:rFonts w:ascii="黑体" w:hAnsi="黑体" w:eastAsia="黑体"/>
          <w:bCs/>
          <w:szCs w:val="21"/>
        </w:rPr>
      </w:pPr>
      <w:r>
        <w:rPr>
          <w:rFonts w:hint="eastAsia" w:ascii="黑体" w:hAnsi="黑体" w:eastAsia="黑体"/>
          <w:bCs/>
          <w:szCs w:val="21"/>
        </w:rPr>
        <w:t>c)</w:t>
      </w:r>
      <w:r>
        <w:rPr>
          <w:rFonts w:hint="eastAsia" w:ascii="黑体" w:hAnsi="黑体" w:eastAsia="黑体"/>
          <w:bCs/>
          <w:szCs w:val="21"/>
        </w:rPr>
        <w:tab/>
      </w:r>
      <w:r>
        <w:rPr>
          <w:rFonts w:hint="eastAsia" w:ascii="黑体" w:hAnsi="黑体" w:eastAsia="黑体"/>
          <w:bCs/>
          <w:szCs w:val="21"/>
        </w:rPr>
        <w:t>能验证相关系统中软件版本与相关软件识别码中软件版本保持一致的过程。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此要求适用于具有软件识别码的车型，无论软件识别码是否存储于车辆上。</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对于a</w:t>
      </w:r>
      <w:r>
        <w:rPr>
          <w:rFonts w:ascii="宋体" w:hAnsi="宋体" w:cs="宋体"/>
          <w:bCs/>
          <w:szCs w:val="21"/>
        </w:rPr>
        <w:t>)</w:t>
      </w:r>
      <w:r>
        <w:rPr>
          <w:rFonts w:hint="eastAsia" w:ascii="宋体" w:hAnsi="宋体" w:cs="宋体"/>
          <w:bCs/>
          <w:szCs w:val="21"/>
        </w:rPr>
        <w:t>和b），车辆制造商能够证明可以访问和更新软件识别码相关的信息，信息至少应存储在车辆制造商处。当系统发生了会导致车辆型式扩展或变更的软件升级时，软件识别码应改变；如果软件升级不会导致车辆型式扩展或变更，则该软件识别码应保持不变。本条款要求车辆制造商应具备记录软件识别码相关信息的过程（见4.3.3）。对于c），车辆制造商应使用过程用以验证准入或认证相关系统中软件版本与相关软件识别码中定义的软件版本相一致，检查准入或认证相关系统中的软件是否符合特定软件识别码下涵盖的软件版本列表。</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制造商应详细说明并解释其过程，可以提供以下信息：</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(a) 更新软件识别码的相关信息的方法/方案；</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(b) 访问保存在车辆上/车辆制造商处的所有软件识别码相关信息的方法/方案。</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(c) 车辆制造商应提供检查准入或认证相关系统中的软件是否符合特定软件识别码下涵盖的软件版本列表的方法/工具。</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条款4.2.3　应具备识别被升级系统与其他车辆系统之间相关性的过程。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此过程用于评估软件升级是否会影响车辆其他系统。车辆制造商应识别不同车辆系统相互的功能和性能影响，并评估被升级系统是否会影响任何其他车辆系统的预期行为。“相关性”应在功能和软件层面均被识别，并应考虑所有与被升级系统相关的系统。“其他车辆系统”包括影响安全、节能、环保、防盗等的系统。</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用于评估系统之间是否存在相关性以及软件升级是否影响其他系统的过程应考虑以下因素：</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(a) 被升级系统变更的出现、识别和记录；</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(b) 识别与被升级系统进行通信的接口和系统；</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(c) 识别受被升级系统影响的任何系统以及相应的影响；</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(d) 评估被升级系统的变更。</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条款4.2.4　应具备识别软件升级的目标车辆的过程。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“目标车辆”是指单个车辆（例如使用VIN标识单个车辆）。</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过程应考虑以下因素：</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(a) 列出受软件升级影响的目标车辆；</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(b) 该过程应考虑从识别需升级的目标车辆集合到识别需升级的单个车辆的步骤；</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(c) 为降低错误识别目标车辆的风险而实施的措施。</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条款4.2.5　在软件升级发布之前，应具备确认软件升级与目标车辆配置兼容性的过程，至少应评估目标车辆在软件升级发布之前最新已知软硬件配置，以确保其与升级包的兼容性。</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目的是保障升级包与目标车辆兼容。车辆制造商应基于最新已知配置对软件升级进行兼容性测试，列出软件升级所需的硬件方面、软件方面的条件以及检查这些条件的方法，并展示识别目标车型的相关配置的方法。</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过程应考虑以下因素：</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(a) 基于最后已知配置对软件升级进行回归测试；</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(b) 列出软件升级所需的硬件方面、软件方面的前提条件；</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(c) 如何在下载升级包之前检查这些前提条件；</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(d) 识别目标车型的相关配置；</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(e) 展示如何测试软件升级与这些配置的兼容性。</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条款4.2.6　应具备评估、识别和记录软件升级是否会影响准入或认证相关系统的过程，至少应包括软件升级是否会影响或更改被升级系统的</w:t>
      </w:r>
      <w:bookmarkStart w:id="22" w:name="_Hlk99636223"/>
      <w:r>
        <w:rPr>
          <w:rFonts w:hint="eastAsia" w:ascii="黑体" w:hAnsi="黑体" w:eastAsia="黑体"/>
          <w:bCs/>
          <w:szCs w:val="21"/>
        </w:rPr>
        <w:t>受准入或认证约束的参数或其他关键参数</w:t>
      </w:r>
      <w:bookmarkEnd w:id="22"/>
      <w:r>
        <w:rPr>
          <w:rFonts w:hint="eastAsia" w:ascii="黑体" w:hAnsi="黑体" w:eastAsia="黑体"/>
          <w:bCs/>
          <w:szCs w:val="21"/>
        </w:rPr>
        <w:t>。</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该要求仅涉及准入或认证相关系统。该要求应考虑软件升级是否会影响或改变此前在一定条件下执行型式试验所得到的结果。评估哪些技术要求或参数受到软件升级的影响或改变，包括得出结论所需的证据。“参数”是指描述系统的准入或认证相关参数。“影响”是指引起车辆型式扩展或变更。</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条款4.2.7　应具备评估、识别和记录软件升级是否会增加、更改或启用在准入或认证时不存在或未启用的任何功能，或是否会更改、禁用标准法规中定义的任何其他参数或功能的过程，至少应包括：</w:t>
      </w:r>
    </w:p>
    <w:p>
      <w:pPr>
        <w:keepNext w:val="0"/>
        <w:keepLines w:val="0"/>
        <w:pageBreakBefore w:val="0"/>
        <w:widowControl w:val="0"/>
        <w:kinsoku/>
        <w:wordWrap/>
        <w:overflowPunct/>
        <w:topLinePunct w:val="0"/>
        <w:bidi w:val="0"/>
        <w:snapToGrid/>
        <w:spacing w:line="400" w:lineRule="exact"/>
        <w:ind w:left="1275" w:leftChars="406" w:hanging="422" w:hangingChars="201"/>
        <w:textAlignment w:val="auto"/>
        <w:rPr>
          <w:rFonts w:hint="eastAsia" w:ascii="黑体" w:hAnsi="黑体" w:eastAsia="黑体"/>
          <w:bCs/>
          <w:szCs w:val="21"/>
        </w:rPr>
      </w:pPr>
      <w:r>
        <w:rPr>
          <w:rFonts w:hint="eastAsia" w:ascii="黑体" w:hAnsi="黑体" w:eastAsia="黑体"/>
          <w:bCs/>
          <w:szCs w:val="21"/>
        </w:rPr>
        <w:t>a)</w:t>
      </w:r>
      <w:r>
        <w:rPr>
          <w:rFonts w:hint="eastAsia" w:ascii="黑体" w:hAnsi="黑体" w:eastAsia="黑体"/>
          <w:bCs/>
          <w:szCs w:val="21"/>
        </w:rPr>
        <w:tab/>
      </w:r>
      <w:r>
        <w:rPr>
          <w:rFonts w:hint="eastAsia" w:ascii="黑体" w:hAnsi="黑体" w:eastAsia="黑体"/>
          <w:bCs/>
          <w:szCs w:val="21"/>
        </w:rPr>
        <w:t>准入或认证相关的信息条目是否需要修改；</w:t>
      </w:r>
    </w:p>
    <w:p>
      <w:pPr>
        <w:keepNext w:val="0"/>
        <w:keepLines w:val="0"/>
        <w:pageBreakBefore w:val="0"/>
        <w:widowControl w:val="0"/>
        <w:kinsoku/>
        <w:wordWrap/>
        <w:overflowPunct/>
        <w:topLinePunct w:val="0"/>
        <w:bidi w:val="0"/>
        <w:snapToGrid/>
        <w:spacing w:line="400" w:lineRule="exact"/>
        <w:ind w:left="1275" w:leftChars="406" w:hanging="422" w:hangingChars="201"/>
        <w:textAlignment w:val="auto"/>
        <w:rPr>
          <w:rFonts w:hint="eastAsia" w:ascii="黑体" w:hAnsi="黑体" w:eastAsia="黑体"/>
          <w:bCs/>
          <w:szCs w:val="21"/>
        </w:rPr>
      </w:pPr>
      <w:r>
        <w:rPr>
          <w:rFonts w:hint="eastAsia" w:ascii="黑体" w:hAnsi="黑体" w:eastAsia="黑体"/>
          <w:bCs/>
          <w:szCs w:val="21"/>
        </w:rPr>
        <w:t>b)</w:t>
      </w:r>
      <w:r>
        <w:rPr>
          <w:rFonts w:hint="eastAsia" w:ascii="黑体" w:hAnsi="黑体" w:eastAsia="黑体"/>
          <w:bCs/>
          <w:szCs w:val="21"/>
        </w:rPr>
        <w:tab/>
      </w:r>
      <w:r>
        <w:rPr>
          <w:rFonts w:hint="eastAsia" w:ascii="黑体" w:hAnsi="黑体" w:eastAsia="黑体"/>
          <w:bCs/>
          <w:szCs w:val="21"/>
        </w:rPr>
        <w:t>型式试验结果是否不再适用软件升级后的车辆；</w:t>
      </w:r>
    </w:p>
    <w:p>
      <w:pPr>
        <w:keepNext w:val="0"/>
        <w:keepLines w:val="0"/>
        <w:pageBreakBefore w:val="0"/>
        <w:widowControl w:val="0"/>
        <w:kinsoku/>
        <w:wordWrap/>
        <w:overflowPunct/>
        <w:topLinePunct w:val="0"/>
        <w:bidi w:val="0"/>
        <w:snapToGrid/>
        <w:spacing w:line="400" w:lineRule="exact"/>
        <w:ind w:left="1275" w:leftChars="406" w:hanging="422" w:hangingChars="201"/>
        <w:textAlignment w:val="auto"/>
        <w:rPr>
          <w:rFonts w:ascii="黑体" w:hAnsi="黑体" w:eastAsia="黑体"/>
          <w:bCs/>
          <w:szCs w:val="21"/>
        </w:rPr>
      </w:pPr>
      <w:r>
        <w:rPr>
          <w:rFonts w:hint="eastAsia" w:ascii="黑体" w:hAnsi="黑体" w:eastAsia="黑体"/>
          <w:bCs/>
          <w:szCs w:val="21"/>
        </w:rPr>
        <w:t>c)</w:t>
      </w:r>
      <w:r>
        <w:rPr>
          <w:rFonts w:hint="eastAsia" w:ascii="黑体" w:hAnsi="黑体" w:eastAsia="黑体"/>
          <w:bCs/>
          <w:szCs w:val="21"/>
        </w:rPr>
        <w:tab/>
      </w:r>
      <w:r>
        <w:rPr>
          <w:rFonts w:hint="eastAsia" w:ascii="黑体" w:hAnsi="黑体" w:eastAsia="黑体"/>
          <w:bCs/>
          <w:szCs w:val="21"/>
        </w:rPr>
        <w:t>对车辆功能的修改是否影响车辆的准入或认证结果。</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“更改、禁用标准法规中定义的任何其他参数或功能”主要是对于准入或认证相关系统；此处的“参数”不是指软件参数，而是指描述系统准入或认证的相关参数。</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条款4.2.8　应具备评估、识别和记录软件升级是否会影响任何其他系统（该系统可能与车辆安全和持续运行有关），或是否会增加或更改车辆注册登记时的功能的过程。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该要求与非准入或认证相关系统有关，被评估的系统是确保车辆安全运行所必需的，并且评估软件升级是否会影响这些系统。该要求还需要通过过程来确定软件升级是否会改变车辆的功能（相较于车辆注册登记时）。</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过程应考虑以下因素：</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(a) 质量控制和配置管理过程；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(b) 评估哪些系统受软件升级影响；</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(c) 评估哪些安全和运行条件受软件升级影响；</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(d) 评估车辆登记后添加/更改的任何功能；</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(e) 如何记录这些影响。</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条款4.2.9　应具备通知车辆用户有关软件升级的过程。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cs="宋体"/>
          <w:bCs/>
          <w:szCs w:val="21"/>
        </w:rPr>
        <w:t>该过程要求</w:t>
      </w:r>
      <w:r>
        <w:rPr>
          <w:rFonts w:ascii="宋体" w:hAnsi="宋体" w:cs="宋体"/>
          <w:bCs/>
          <w:szCs w:val="21"/>
        </w:rPr>
        <w:t>车辆用户能够被通知</w:t>
      </w:r>
      <w:r>
        <w:rPr>
          <w:rFonts w:hint="eastAsia" w:ascii="宋体" w:hAnsi="宋体" w:cs="宋体"/>
          <w:bCs/>
          <w:szCs w:val="21"/>
        </w:rPr>
        <w:t>软件升级可能对其</w:t>
      </w:r>
      <w:r>
        <w:rPr>
          <w:rFonts w:ascii="宋体" w:hAnsi="宋体" w:cs="宋体"/>
          <w:bCs/>
          <w:szCs w:val="21"/>
        </w:rPr>
        <w:t>车辆</w:t>
      </w:r>
      <w:r>
        <w:rPr>
          <w:rFonts w:hint="eastAsia" w:ascii="宋体" w:hAnsi="宋体" w:cs="宋体"/>
          <w:bCs/>
          <w:szCs w:val="21"/>
        </w:rPr>
        <w:t>产生</w:t>
      </w:r>
      <w:r>
        <w:rPr>
          <w:rFonts w:ascii="宋体" w:hAnsi="宋体" w:cs="宋体"/>
          <w:bCs/>
          <w:szCs w:val="21"/>
        </w:rPr>
        <w:t>的</w:t>
      </w:r>
      <w:r>
        <w:rPr>
          <w:rFonts w:hint="eastAsia" w:ascii="宋体" w:hAnsi="宋体" w:cs="宋体"/>
          <w:bCs/>
          <w:szCs w:val="21"/>
        </w:rPr>
        <w:t>影响，通知方式不限</w:t>
      </w:r>
      <w:r>
        <w:rPr>
          <w:rFonts w:ascii="宋体" w:hAnsi="宋体" w:cs="宋体"/>
          <w:bCs/>
          <w:szCs w:val="21"/>
        </w:rPr>
        <w:t>。</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cs="宋体"/>
          <w:bCs/>
          <w:szCs w:val="21"/>
        </w:rPr>
        <w:t>车辆制造商应提供用于将软件升级告知车辆用户的方法，并应证明这些方法的有效性。</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条款4.3.1　描述车辆制造商进行软件升级的过程，以及证明其符合性的相关标准的文件。</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车辆制造商应记录用于描述进行软件升级所使用的所有过程信息以及以上过程如何应用于各种车型的说明。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第4.2条及其子条款中所列过程的文件，以及这些过程如何应用于各种车型的说明。</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条款4.3.</w:t>
      </w:r>
      <w:r>
        <w:rPr>
          <w:rFonts w:ascii="黑体" w:hAnsi="黑体" w:eastAsia="黑体"/>
          <w:bCs/>
          <w:szCs w:val="21"/>
        </w:rPr>
        <w:t>2</w:t>
      </w:r>
      <w:r>
        <w:rPr>
          <w:rFonts w:hint="eastAsia" w:ascii="黑体" w:hAnsi="黑体" w:eastAsia="黑体"/>
          <w:bCs/>
          <w:szCs w:val="21"/>
        </w:rPr>
        <w:t>　在软件升级前后，描述准入或认证相关系统的配置的文件，至少应包括系统的硬件、软件（包括软件版本）的唯一标识以及相关车辆或系统参数。</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车辆制造商应至少能够记录与软件升级相关的车辆系统的所有配置，可能有一系列的历次配置或版本。“配置”包括系统的硬件、软件以及任何相关车辆或系统的参数。</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highlight w:val="yellow"/>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配置管理过程可用于证明车辆制造商将记录的内容。这应包括以下记录：</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(a) 软件升级前后被升级系统的任何相关参数；</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(b) 被升级系统的硬件和软件版本号。</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条款4.3.3　在软件升级前后，每个软件识别码应有一个可审核的记录用于描述所有相关的软件，至少应包括所有相关软件的版本及完整性验证数据。</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此要求适用于具有软件识别码的车型。“完整性验证数据</w:t>
      </w:r>
      <w:r>
        <w:rPr>
          <w:rFonts w:ascii="宋体" w:hAnsi="宋体" w:cs="宋体"/>
          <w:bCs/>
          <w:szCs w:val="21"/>
        </w:rPr>
        <w:t>’</w:t>
      </w:r>
      <w:r>
        <w:rPr>
          <w:rFonts w:hint="eastAsia" w:ascii="宋体" w:hAnsi="宋体" w:cs="宋体"/>
          <w:bCs/>
          <w:szCs w:val="21"/>
        </w:rPr>
        <w:t>应使得技术人员能够验证软件是否被篡改。</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highlight w:val="yellow"/>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配置管理过程可用于证明车辆制造商将记录什么，以及证明记录过程的有效性：</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(a)每个软件识别码：</w:t>
      </w:r>
    </w:p>
    <w:p>
      <w:pPr>
        <w:keepNext w:val="0"/>
        <w:keepLines w:val="0"/>
        <w:pageBreakBefore w:val="0"/>
        <w:widowControl w:val="0"/>
        <w:kinsoku/>
        <w:wordWrap/>
        <w:overflowPunct/>
        <w:topLinePunct w:val="0"/>
        <w:bidi w:val="0"/>
        <w:snapToGrid/>
        <w:spacing w:line="400" w:lineRule="exact"/>
        <w:ind w:left="420" w:leftChars="200" w:firstLine="420"/>
        <w:textAlignment w:val="auto"/>
        <w:rPr>
          <w:rFonts w:hint="eastAsia" w:ascii="宋体" w:hAnsi="宋体" w:cs="宋体"/>
          <w:bCs/>
          <w:szCs w:val="21"/>
        </w:rPr>
      </w:pPr>
      <w:r>
        <w:rPr>
          <w:rFonts w:hint="eastAsia" w:ascii="宋体" w:hAnsi="宋体" w:cs="宋体"/>
          <w:bCs/>
          <w:szCs w:val="21"/>
        </w:rPr>
        <w:t>(i)与每个软件识别码相关的软件列表；</w:t>
      </w:r>
    </w:p>
    <w:p>
      <w:pPr>
        <w:keepNext w:val="0"/>
        <w:keepLines w:val="0"/>
        <w:pageBreakBefore w:val="0"/>
        <w:widowControl w:val="0"/>
        <w:kinsoku/>
        <w:wordWrap/>
        <w:overflowPunct/>
        <w:topLinePunct w:val="0"/>
        <w:bidi w:val="0"/>
        <w:snapToGrid/>
        <w:spacing w:line="400" w:lineRule="exact"/>
        <w:ind w:left="420" w:leftChars="200" w:firstLine="420"/>
        <w:textAlignment w:val="auto"/>
        <w:rPr>
          <w:rFonts w:hint="eastAsia" w:ascii="宋体" w:hAnsi="宋体" w:cs="宋体"/>
          <w:bCs/>
          <w:szCs w:val="21"/>
        </w:rPr>
      </w:pPr>
      <w:r>
        <w:rPr>
          <w:rFonts w:hint="eastAsia" w:ascii="宋体" w:hAnsi="宋体" w:cs="宋体"/>
          <w:bCs/>
          <w:szCs w:val="21"/>
        </w:rPr>
        <w:t>(ii)软件升级前后每个软件的软件版本和完整性验证数据；</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(b)如何记录软件识别码相关信息。软件识别码相关信息应包括：</w:t>
      </w:r>
    </w:p>
    <w:p>
      <w:pPr>
        <w:keepNext w:val="0"/>
        <w:keepLines w:val="0"/>
        <w:pageBreakBefore w:val="0"/>
        <w:widowControl w:val="0"/>
        <w:kinsoku/>
        <w:wordWrap/>
        <w:overflowPunct/>
        <w:topLinePunct w:val="0"/>
        <w:bidi w:val="0"/>
        <w:snapToGrid/>
        <w:spacing w:line="400" w:lineRule="exact"/>
        <w:ind w:left="420" w:leftChars="200" w:firstLine="420"/>
        <w:textAlignment w:val="auto"/>
        <w:rPr>
          <w:rFonts w:hint="eastAsia" w:ascii="宋体" w:hAnsi="宋体" w:cs="宋体"/>
          <w:bCs/>
          <w:szCs w:val="21"/>
        </w:rPr>
      </w:pPr>
      <w:r>
        <w:rPr>
          <w:rFonts w:hint="eastAsia" w:ascii="宋体" w:hAnsi="宋体" w:cs="宋体"/>
          <w:bCs/>
          <w:szCs w:val="21"/>
        </w:rPr>
        <w:t>(i)软件识别码相关系统/软件功能描述；</w:t>
      </w:r>
    </w:p>
    <w:p>
      <w:pPr>
        <w:keepNext w:val="0"/>
        <w:keepLines w:val="0"/>
        <w:pageBreakBefore w:val="0"/>
        <w:widowControl w:val="0"/>
        <w:kinsoku/>
        <w:wordWrap/>
        <w:overflowPunct/>
        <w:topLinePunct w:val="0"/>
        <w:bidi w:val="0"/>
        <w:snapToGrid/>
        <w:spacing w:line="400" w:lineRule="exact"/>
        <w:ind w:left="420" w:leftChars="200" w:firstLine="420"/>
        <w:textAlignment w:val="auto"/>
        <w:rPr>
          <w:rFonts w:hint="eastAsia" w:ascii="宋体" w:hAnsi="宋体" w:cs="宋体"/>
          <w:bCs/>
          <w:szCs w:val="21"/>
        </w:rPr>
      </w:pPr>
      <w:r>
        <w:rPr>
          <w:rFonts w:hint="eastAsia" w:ascii="宋体" w:hAnsi="宋体" w:cs="宋体"/>
          <w:bCs/>
          <w:szCs w:val="21"/>
        </w:rPr>
        <w:t>(ii)可能影响的法律/法规/技术标准等；</w:t>
      </w:r>
    </w:p>
    <w:p>
      <w:pPr>
        <w:keepNext w:val="0"/>
        <w:keepLines w:val="0"/>
        <w:pageBreakBefore w:val="0"/>
        <w:widowControl w:val="0"/>
        <w:kinsoku/>
        <w:wordWrap/>
        <w:overflowPunct/>
        <w:topLinePunct w:val="0"/>
        <w:bidi w:val="0"/>
        <w:snapToGrid/>
        <w:spacing w:line="400" w:lineRule="exact"/>
        <w:ind w:left="420" w:leftChars="200" w:firstLine="420"/>
        <w:textAlignment w:val="auto"/>
        <w:rPr>
          <w:rFonts w:hint="eastAsia" w:ascii="宋体" w:hAnsi="宋体" w:cs="宋体"/>
          <w:bCs/>
          <w:szCs w:val="21"/>
        </w:rPr>
      </w:pPr>
      <w:r>
        <w:rPr>
          <w:rFonts w:hint="eastAsia" w:ascii="宋体" w:hAnsi="宋体" w:cs="宋体"/>
          <w:bCs/>
          <w:szCs w:val="21"/>
        </w:rPr>
        <w:t>(iii)软件识别码所有相关的软件；</w:t>
      </w:r>
    </w:p>
    <w:p>
      <w:pPr>
        <w:keepNext w:val="0"/>
        <w:keepLines w:val="0"/>
        <w:pageBreakBefore w:val="0"/>
        <w:widowControl w:val="0"/>
        <w:kinsoku/>
        <w:wordWrap/>
        <w:overflowPunct/>
        <w:topLinePunct w:val="0"/>
        <w:bidi w:val="0"/>
        <w:snapToGrid/>
        <w:spacing w:line="400" w:lineRule="exact"/>
        <w:ind w:left="420" w:leftChars="200" w:firstLine="420"/>
        <w:textAlignment w:val="auto"/>
        <w:rPr>
          <w:rFonts w:hint="eastAsia" w:ascii="宋体" w:hAnsi="宋体" w:cs="宋体"/>
          <w:bCs/>
          <w:szCs w:val="21"/>
        </w:rPr>
      </w:pPr>
      <w:r>
        <w:rPr>
          <w:rFonts w:hint="eastAsia" w:ascii="宋体" w:hAnsi="宋体" w:cs="宋体"/>
          <w:bCs/>
          <w:szCs w:val="21"/>
        </w:rPr>
        <w:t>(iv)所有相关软件的完整性验证数据；</w:t>
      </w:r>
    </w:p>
    <w:p>
      <w:pPr>
        <w:keepNext w:val="0"/>
        <w:keepLines w:val="0"/>
        <w:pageBreakBefore w:val="0"/>
        <w:widowControl w:val="0"/>
        <w:kinsoku/>
        <w:wordWrap/>
        <w:overflowPunct/>
        <w:topLinePunct w:val="0"/>
        <w:bidi w:val="0"/>
        <w:snapToGrid/>
        <w:spacing w:line="400" w:lineRule="exact"/>
        <w:ind w:left="420" w:leftChars="200" w:firstLine="420"/>
        <w:textAlignment w:val="auto"/>
        <w:rPr>
          <w:rFonts w:hint="eastAsia" w:ascii="宋体" w:hAnsi="宋体" w:cs="宋体"/>
          <w:bCs/>
          <w:szCs w:val="21"/>
        </w:rPr>
      </w:pPr>
      <w:r>
        <w:rPr>
          <w:rFonts w:hint="eastAsia" w:ascii="宋体" w:hAnsi="宋体" w:cs="宋体"/>
          <w:bCs/>
          <w:szCs w:val="21"/>
        </w:rPr>
        <w:t>(v)生成完整性验证数据的方法；</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(c)如何记录软件识别码相关更新信息，包括：</w:t>
      </w:r>
    </w:p>
    <w:p>
      <w:pPr>
        <w:keepNext w:val="0"/>
        <w:keepLines w:val="0"/>
        <w:pageBreakBefore w:val="0"/>
        <w:widowControl w:val="0"/>
        <w:kinsoku/>
        <w:wordWrap/>
        <w:overflowPunct/>
        <w:topLinePunct w:val="0"/>
        <w:bidi w:val="0"/>
        <w:snapToGrid/>
        <w:spacing w:line="400" w:lineRule="exact"/>
        <w:ind w:left="420" w:leftChars="200" w:firstLine="420"/>
        <w:textAlignment w:val="auto"/>
        <w:rPr>
          <w:rFonts w:hint="eastAsia" w:ascii="宋体" w:hAnsi="宋体" w:cs="宋体"/>
          <w:bCs/>
          <w:szCs w:val="21"/>
        </w:rPr>
      </w:pPr>
      <w:r>
        <w:rPr>
          <w:rFonts w:hint="eastAsia" w:ascii="宋体" w:hAnsi="宋体" w:cs="宋体"/>
          <w:bCs/>
          <w:szCs w:val="21"/>
        </w:rPr>
        <w:t>(i)软件升级影响的软件识别码列表。</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条款4.3.4　列出软件升级的目标车辆并确认其配置与软件升级兼容性的文件。</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车辆制造商应记录关于目标车辆的信息，且应提供到车辆VIN码的层级。应记录检测目标车辆最新已知配置与软件升级的兼容性的方法、过程、结果的文件。</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highlight w:val="yellow"/>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配置管理过程可用于证明制造商将记录什么，包括证明以下过程的有效性：</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(a) 识别需软件升级的目标车辆；</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(b) 检测目标车辆最新已知配置与软件升级的兼容性。</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条款4.3.5　描述车型所有软件升级的文件：</w:t>
      </w:r>
    </w:p>
    <w:p>
      <w:pPr>
        <w:keepNext w:val="0"/>
        <w:keepLines w:val="0"/>
        <w:pageBreakBefore w:val="0"/>
        <w:widowControl w:val="0"/>
        <w:numPr>
          <w:ilvl w:val="1"/>
          <w:numId w:val="8"/>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软件升级的目的；</w:t>
      </w:r>
    </w:p>
    <w:p>
      <w:pPr>
        <w:keepNext w:val="0"/>
        <w:keepLines w:val="0"/>
        <w:pageBreakBefore w:val="0"/>
        <w:widowControl w:val="0"/>
        <w:numPr>
          <w:ilvl w:val="1"/>
          <w:numId w:val="8"/>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软件升级可能影响的车辆系统或功能；</w:t>
      </w:r>
    </w:p>
    <w:p>
      <w:pPr>
        <w:keepNext w:val="0"/>
        <w:keepLines w:val="0"/>
        <w:pageBreakBefore w:val="0"/>
        <w:widowControl w:val="0"/>
        <w:numPr>
          <w:ilvl w:val="1"/>
          <w:numId w:val="8"/>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b)中系统或功能是否与准入或认证有关；</w:t>
      </w:r>
    </w:p>
    <w:p>
      <w:pPr>
        <w:keepNext w:val="0"/>
        <w:keepLines w:val="0"/>
        <w:pageBreakBefore w:val="0"/>
        <w:widowControl w:val="0"/>
        <w:numPr>
          <w:ilvl w:val="1"/>
          <w:numId w:val="8"/>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对于c）中与准入或认证有关的系统或功能，软件升级是否影响其准入或认证的符合性；</w:t>
      </w:r>
    </w:p>
    <w:p>
      <w:pPr>
        <w:keepNext w:val="0"/>
        <w:keepLines w:val="0"/>
        <w:pageBreakBefore w:val="0"/>
        <w:widowControl w:val="0"/>
        <w:numPr>
          <w:ilvl w:val="1"/>
          <w:numId w:val="8"/>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软件升级是否影响系统的任何准入或认证相关参数；</w:t>
      </w:r>
    </w:p>
    <w:p>
      <w:pPr>
        <w:keepNext w:val="0"/>
        <w:keepLines w:val="0"/>
        <w:pageBreakBefore w:val="0"/>
        <w:widowControl w:val="0"/>
        <w:numPr>
          <w:ilvl w:val="1"/>
          <w:numId w:val="8"/>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是否获得软件升级批准；</w:t>
      </w:r>
    </w:p>
    <w:p>
      <w:pPr>
        <w:keepNext w:val="0"/>
        <w:keepLines w:val="0"/>
        <w:pageBreakBefore w:val="0"/>
        <w:widowControl w:val="0"/>
        <w:numPr>
          <w:ilvl w:val="1"/>
          <w:numId w:val="8"/>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执行软件升级的方法和先决条件；</w:t>
      </w:r>
    </w:p>
    <w:p>
      <w:pPr>
        <w:keepNext w:val="0"/>
        <w:keepLines w:val="0"/>
        <w:pageBreakBefore w:val="0"/>
        <w:widowControl w:val="0"/>
        <w:numPr>
          <w:ilvl w:val="1"/>
          <w:numId w:val="8"/>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确认软件升级将安全可靠地进行；</w:t>
      </w:r>
    </w:p>
    <w:p>
      <w:pPr>
        <w:keepNext w:val="0"/>
        <w:keepLines w:val="0"/>
        <w:pageBreakBefore w:val="0"/>
        <w:widowControl w:val="0"/>
        <w:numPr>
          <w:ilvl w:val="1"/>
          <w:numId w:val="8"/>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确认软件升级已经成功通过验证和确认程序。</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left="420" w:firstLine="420"/>
        <w:textAlignment w:val="auto"/>
        <w:rPr>
          <w:rFonts w:hint="eastAsia" w:ascii="宋体" w:hAnsi="宋体" w:cs="宋体"/>
          <w:bCs/>
          <w:szCs w:val="21"/>
        </w:rPr>
      </w:pPr>
      <w:r>
        <w:rPr>
          <w:rFonts w:hint="eastAsia" w:ascii="宋体" w:hAnsi="宋体" w:cs="宋体"/>
          <w:bCs/>
          <w:szCs w:val="21"/>
        </w:rPr>
        <w:t>车辆制造商应以车型为单元记录描述该车型所有软件升级的文件。</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关于b),目的是让车辆制造商描述软件升级的目标系统或功能，例如制动系统、转向系统和可能受影响的任何其他系统或功能。</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关于d)，这要求制造商记录4.2.6和4.2.7条款中描述的过程输出。决策的理由/推理过程应与结果一起记录。</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关于e)，此要求应考虑受影响的型式试验，以及软件升级是否可能影响或改变该试验的结果。决策的理由/推理过程应与结果一起记录。</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关于h)，所提供的信息应详细说明为何条款g）中的条件会保障软件升级安全执行以及如何满足这些条件。</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cs="宋体"/>
          <w:bCs/>
          <w:szCs w:val="21"/>
        </w:rPr>
        <w:t>关于i)，验证和确认程序目的用于保障升级包和软件升级过程经过充分测试，确保软件升级过程可以安全进行。</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highlight w:val="yellow"/>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应通过展示用于记录信息的过程来提供证据。如果过程已经被使用，则可以展示过程输出（结果文档）。</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关于g)，车辆制造商可使用软件升级的发布说明来满足此要求。发布说明应包含（但不限于）以下信息：</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(i) 定义可安全执行软件升级的先决条件；</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(ii) 在安装升级包之前，需要车辆用户/技术人员（如有必要）采取的额外措施。</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关于i)，用于确保软件升级经过验证和确认程序后能达到车辆制造商预设的安全水平，以及相关记录。</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条款4.4.1　应具备保护升级包的过程，合理地防止其在执行前被篡改。</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该要求是确保所推送升级包的完整性和真实性。结果应该是，车辆制造商应能够证明其有适当的过程来控制向车辆推送哪些升级包，并确保只向车辆推送已知和有效的升级包。这可能包括保证供应商提供的保障软件升级安全的过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“篡改”是指未经授权对升级包的软件代码进行更改或干扰。</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“合理”是指车辆制造商所采用的过程足以应对威胁。</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color w:val="FF0000"/>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信息安全管理体系（CSMS）可以用来支撑这一要求。车辆制造商应该证明其如何达到要求。</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信息安全相关标准可以作为参考。</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车辆制造商的过程演示可作为证据。这可能包括对软件升级在下载和执行中任何阶段的完整性检验机制的说明。应提供真实性验证来证明源升级包与发送到车辆的升级包是一致的。</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条款4.4.2　应保护软件升级过程，合理地防止其受到损害，包括软件升级推送系统。</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该要求针对推送软件升级的过程，确保推送过程免受未授权的损害。结果应该是，车辆制造商应能够证明其有适当的过程来确保升级机制不会被操纵用于提供未经授权的升级。</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“软件升级推送系统”是指为推送升级包而建立的系统，应在建立的过程中从设计的角度保证信息安全。</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信息安全管理体系（CSMS）可以用来支撑这一要求。车辆制造商应该证明其如何达到要求。</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信息安全相关标准可以作为参考。</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车辆制造商应演示应用于软件升级过程中的信息安全保障。</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条款4.4.3　应确保验证和确认车辆软件的功能和代码的过程是适当的。</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车辆制造商应</w:t>
      </w:r>
      <w:r>
        <w:rPr>
          <w:rFonts w:ascii="宋体" w:hAnsi="宋体" w:cs="宋体"/>
          <w:bCs/>
          <w:szCs w:val="21"/>
        </w:rPr>
        <w:t>确保过程到位，使得仅有正确测试过的升级包</w:t>
      </w:r>
      <w:r>
        <w:rPr>
          <w:rFonts w:hint="eastAsia" w:ascii="宋体" w:hAnsi="宋体" w:cs="宋体"/>
          <w:bCs/>
          <w:szCs w:val="21"/>
        </w:rPr>
        <w:t>才能</w:t>
      </w:r>
      <w:r>
        <w:rPr>
          <w:rFonts w:ascii="宋体" w:hAnsi="宋体" w:cs="宋体"/>
          <w:bCs/>
          <w:szCs w:val="21"/>
        </w:rPr>
        <w:t>发送到车辆。</w:t>
      </w:r>
      <w:r>
        <w:rPr>
          <w:rFonts w:hint="eastAsia" w:ascii="宋体" w:hAnsi="宋体" w:cs="宋体"/>
          <w:bCs/>
          <w:szCs w:val="21"/>
        </w:rPr>
        <w:t>目的在于最大限度地减少升级包中的缺陷（bug）。该要求与4.3.5条款i）相联系。本条款需要检查过程，第4.3.5条款需要文档说明验证与确认过程已应用于升级包。</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“适当”是指满足合理期望的水平。</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cs="宋体"/>
          <w:bCs/>
          <w:szCs w:val="21"/>
        </w:rPr>
        <w:t>车辆制造商能够基于声明和证据来提供论据，证明其采用的过程是适当的。</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条款4.4.4　应具备处理软件升级突发事件的应急管理机制。</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针对软件升级过程中可能突然发生的意外事件（例如升级中断或失败，以及升级过程中因车辆或人为因素导致的意外事件），车辆制造商应具备应急管理机制用于处理相应事件。</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cs="宋体"/>
          <w:bCs/>
          <w:szCs w:val="21"/>
        </w:rPr>
        <w:t>企业针对软件升级的应急管理方案。</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条款4.5.1　若在线升级是在车辆行驶过程中进行，车辆制造商应证明其采用了过程和程序以确保该</w:t>
      </w:r>
      <w:bookmarkStart w:id="23" w:name="_Hlk99638445"/>
      <w:r>
        <w:rPr>
          <w:rFonts w:hint="eastAsia" w:ascii="黑体" w:hAnsi="黑体" w:eastAsia="黑体"/>
          <w:bCs/>
          <w:szCs w:val="21"/>
        </w:rPr>
        <w:t>在线升级不会影响车辆安全</w:t>
      </w:r>
      <w:bookmarkEnd w:id="23"/>
      <w:r>
        <w:rPr>
          <w:rFonts w:hint="eastAsia" w:ascii="黑体" w:hAnsi="黑体" w:eastAsia="黑体"/>
          <w:bCs/>
          <w:szCs w:val="21"/>
        </w:rPr>
        <w:t>。</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车辆制造商应对在驾驶过程中进行的软件升级进行安全评估，保障在线升级不会影响车辆安全。这些过程的产出物应按照4.3.5条款g)和h)所述进行记录。</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可提供的文件/证据示例：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车辆制造商提供相应的判定过程和标准等信息。</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条款4.5.2　当在线升级需要特定的技能或复杂操作时，车辆制造商应证明其采用了过程和程序以确保只有在专业人员在场或执行该操作的情况下才能进行在线升级。</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应建立过程确保车辆用户不需要做任何需要技术或复杂的事情来启动或完成软件升级。当软件升级可能需要复杂操作时，需要有一个过程来确保只有当具备合适技能或训练有素的人员在场或者在远程执行时控制该过程时才进行这种软件升级。该过程的产出物应按照4.3.5条款g)和h)所述进行记录。</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条款5.1.1　应保护升级包的真实性和完整性，合理地防止其受到损害和防止无效软件升级。</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ascii="宋体" w:hAnsi="宋体" w:cs="宋体"/>
          <w:bCs/>
          <w:szCs w:val="21"/>
        </w:rPr>
        <w:t>要求在</w:t>
      </w:r>
      <w:r>
        <w:rPr>
          <w:rFonts w:hint="eastAsia" w:ascii="宋体" w:hAnsi="宋体" w:cs="宋体"/>
          <w:bCs/>
          <w:szCs w:val="21"/>
        </w:rPr>
        <w:t>车辆</w:t>
      </w:r>
      <w:r>
        <w:rPr>
          <w:rFonts w:ascii="宋体" w:hAnsi="宋体" w:cs="宋体"/>
          <w:bCs/>
          <w:szCs w:val="21"/>
        </w:rPr>
        <w:t>上实施有效的</w:t>
      </w:r>
      <w:r>
        <w:rPr>
          <w:rFonts w:hint="eastAsia" w:ascii="宋体" w:hAnsi="宋体" w:cs="宋体"/>
          <w:bCs/>
          <w:szCs w:val="21"/>
        </w:rPr>
        <w:t>真实性与完整性</w:t>
      </w:r>
      <w:r>
        <w:rPr>
          <w:rFonts w:ascii="宋体" w:hAnsi="宋体" w:cs="宋体"/>
          <w:bCs/>
          <w:szCs w:val="21"/>
        </w:rPr>
        <w:t>保护机制，以确保仅有效的</w:t>
      </w:r>
      <w:r>
        <w:rPr>
          <w:rFonts w:hint="eastAsia" w:ascii="宋体" w:hAnsi="宋体" w:cs="宋体"/>
          <w:bCs/>
          <w:szCs w:val="21"/>
        </w:rPr>
        <w:t>升级</w:t>
      </w:r>
      <w:r>
        <w:rPr>
          <w:rFonts w:ascii="宋体" w:hAnsi="宋体" w:cs="宋体"/>
          <w:bCs/>
          <w:szCs w:val="21"/>
        </w:rPr>
        <w:t>包可被下载和执行</w:t>
      </w:r>
      <w:r>
        <w:rPr>
          <w:rFonts w:hint="eastAsia" w:ascii="宋体" w:hAnsi="宋体" w:cs="宋体"/>
          <w:bCs/>
          <w:szCs w:val="21"/>
        </w:rPr>
        <w:t>，</w:t>
      </w:r>
      <w:r>
        <w:rPr>
          <w:rFonts w:ascii="宋体" w:hAnsi="宋体" w:cs="宋体"/>
          <w:bCs/>
          <w:szCs w:val="21"/>
        </w:rPr>
        <w:t>真实性和完整性应该由车辆进行有效验证。</w:t>
      </w:r>
      <w:r>
        <w:rPr>
          <w:rFonts w:hint="eastAsia" w:ascii="宋体" w:hAnsi="宋体" w:cs="宋体"/>
          <w:bCs/>
          <w:szCs w:val="21"/>
        </w:rPr>
        <w:t>同时应满足4.4.1和4.4.2条款中描述的过程要求，确保端到端安全（即升级包的创建、推送到执行过程的安全）。</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“合理地”是指基于当前的预防措施达到可预见的保护水平。</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szCs w:val="21"/>
        </w:rPr>
      </w:pPr>
      <w:r>
        <w:rPr>
          <w:rFonts w:hint="eastAsia" w:ascii="黑体" w:hAnsi="黑体" w:eastAsia="黑体"/>
          <w:szCs w:val="21"/>
        </w:rPr>
        <w:t>可提供的文件示例：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车辆制造商应提供相关保护机制的详细方案，以确保在车辆上仅执行成功通过真实性和完整性校验的升级包。</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信息安全相关标准可以作为参考。</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条款5.1.2　当车辆存储软件识别码时，车辆应具备更新软件识别码的能力，每个软件识别码应能通过使用电子通信接口，至少通过标准接口(如OBD端口)，以标准化的方式易于读取。</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如果软件识别码在车辆上存储时，软件识别码应具备更新机制，且便于从车辆读取。</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可提供的文件示例：</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cs="宋体"/>
          <w:bCs/>
          <w:szCs w:val="21"/>
        </w:rPr>
        <w:t>可参考的标准/法规：</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 xml:space="preserve">(a) </w:t>
      </w:r>
      <w:r>
        <w:rPr>
          <w:rFonts w:ascii="宋体" w:hAnsi="宋体" w:cs="宋体"/>
          <w:bCs/>
          <w:szCs w:val="21"/>
        </w:rPr>
        <w:t xml:space="preserve">GB/T 40822 </w:t>
      </w:r>
      <w:r>
        <w:rPr>
          <w:rFonts w:hint="eastAsia" w:ascii="宋体" w:hAnsi="宋体" w:cs="宋体"/>
          <w:bCs/>
          <w:szCs w:val="21"/>
        </w:rPr>
        <w:t>道路车辆 统一的诊断服务；</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(b) 道路车辆 车辆和外部设备之间排放相关诊断的通信；</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条款5.1.3　当车辆未存储软件识别码时，车辆应具备更新软件版本的能力，与准入或认证相关系统的软件版本应能通过使用电子通信接口，至少通过标准接口(如OBD端口)，以标准化的方式易于读取。</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如果软件识别码未在车辆上存储，则应将与准入或认证相关的所有软件版本存储在车辆上，且具备更新机制，并便于从车端读取，并声明与准入或认证相关系统的相关性。</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可提供的文件示例：</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cs="宋体"/>
          <w:bCs/>
          <w:szCs w:val="21"/>
        </w:rPr>
        <w:t>可参考的标准/法规：</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 xml:space="preserve">(a) </w:t>
      </w:r>
      <w:r>
        <w:rPr>
          <w:rFonts w:ascii="宋体" w:hAnsi="宋体" w:cs="宋体"/>
          <w:bCs/>
          <w:szCs w:val="21"/>
        </w:rPr>
        <w:t xml:space="preserve">GB/T 40822 </w:t>
      </w:r>
      <w:r>
        <w:rPr>
          <w:rFonts w:hint="eastAsia" w:ascii="宋体" w:hAnsi="宋体" w:cs="宋体"/>
          <w:bCs/>
          <w:szCs w:val="21"/>
        </w:rPr>
        <w:t>道路车辆 统一的诊断服务；</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(b) 道路车辆 车辆和外部设备之间排放相关诊断的通信；</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条款5.1.4　应保护车辆上的软件识别码和/或软件版本免受篡改。</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该要求涉及软件识别码和/或软件版本的安全性，对于车辆存储软件识别码的，应同时保护软件识别码和软件版本，对于车辆未存储软件识别码的，应保护软件版本。软件识别码和/或软件版本只有授权方可以更新，且仅当在车辆上执行相关软件升级时才会发生此情况。进行准入或认证时，车辆制造商对所采用的防止车辆软件识别码和/或软件版本免受篡改的方法应采用机密方式提供。</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车辆制造商可以描述软件识别码和/或软件版本的存储位置或存储方式，以及采取了哪些措施来保护其免受篡改。</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条款5.2.1　在执行软件升级前，应告知车辆用户有关软件升级的信息，至少应包括：</w:t>
      </w:r>
    </w:p>
    <w:p>
      <w:pPr>
        <w:keepNext w:val="0"/>
        <w:keepLines w:val="0"/>
        <w:pageBreakBefore w:val="0"/>
        <w:widowControl w:val="0"/>
        <w:numPr>
          <w:ilvl w:val="1"/>
          <w:numId w:val="9"/>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目的（例如，软件升级的重要性，以及是否与召回、安全等有关）；</w:t>
      </w:r>
    </w:p>
    <w:p>
      <w:pPr>
        <w:keepNext w:val="0"/>
        <w:keepLines w:val="0"/>
        <w:pageBreakBefore w:val="0"/>
        <w:widowControl w:val="0"/>
        <w:numPr>
          <w:ilvl w:val="1"/>
          <w:numId w:val="9"/>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对于车辆功能的任何更改；</w:t>
      </w:r>
    </w:p>
    <w:p>
      <w:pPr>
        <w:keepNext w:val="0"/>
        <w:keepLines w:val="0"/>
        <w:pageBreakBefore w:val="0"/>
        <w:widowControl w:val="0"/>
        <w:numPr>
          <w:ilvl w:val="1"/>
          <w:numId w:val="9"/>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完成软件升级的预期时间；</w:t>
      </w:r>
    </w:p>
    <w:p>
      <w:pPr>
        <w:keepNext w:val="0"/>
        <w:keepLines w:val="0"/>
        <w:pageBreakBefore w:val="0"/>
        <w:widowControl w:val="0"/>
        <w:numPr>
          <w:ilvl w:val="1"/>
          <w:numId w:val="9"/>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执行软件升级期间任何可能无法使用的车辆功能；</w:t>
      </w:r>
    </w:p>
    <w:p>
      <w:pPr>
        <w:keepNext w:val="0"/>
        <w:keepLines w:val="0"/>
        <w:pageBreakBefore w:val="0"/>
        <w:widowControl w:val="0"/>
        <w:numPr>
          <w:ilvl w:val="1"/>
          <w:numId w:val="9"/>
        </w:numPr>
        <w:kinsoku/>
        <w:wordWrap/>
        <w:overflowPunct/>
        <w:topLinePunct w:val="0"/>
        <w:bidi w:val="0"/>
        <w:snapToGrid/>
        <w:spacing w:line="400" w:lineRule="exact"/>
        <w:ind w:hanging="469" w:firstLineChars="0"/>
        <w:textAlignment w:val="auto"/>
        <w:rPr>
          <w:rFonts w:hint="eastAsia" w:ascii="黑体" w:hAnsi="黑体" w:eastAsia="黑体"/>
          <w:bCs/>
          <w:szCs w:val="21"/>
        </w:rPr>
      </w:pPr>
      <w:r>
        <w:rPr>
          <w:rFonts w:hint="eastAsia" w:ascii="黑体" w:hAnsi="黑体" w:eastAsia="黑体"/>
          <w:bCs/>
          <w:szCs w:val="21"/>
        </w:rPr>
        <w:t>可能帮助车辆用户安全执行软件升级的任何说明。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该要求与4.2.9条款中要求的过程相关，该要求与具备在线升级功能的车型相关。目的是车辆用户在执行软件升级前被告知，并获得决定是否执行软件升级所需的所有信息。如果一组升级包具有相同内容，可以用一个告知信息覆盖整组升级包。</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如果为车辆用户提供了软件升级的一次性授权选项，并且选择了该选项，则不必每次软件升级都被告知。车辆制造商应证明如何完善地管理此授权，以确保当车辆转移给新的车辆用户时，新用户能够更改他们的授权。</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车辆制造商可以为每次软件升级提供发布说明，说明的详细信息符合本条款要求。车辆制造商应说明如何向车辆用户提供这些信息，可能包括车辆用户如何被告知的说明。</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条款5.2.2　在执行软件升级前，应得到车辆用户的确认。</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该要求与进行在线升级的车型相关，确认方式可根据车型情况而定。</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车辆制造商可以为每次软件升级提供发布说明。车辆制造商应说明如何得到车辆用户的确认。</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条款5.2.3　在执行软件升级前，应确保车辆满足先决条件。</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该要求与进行在线升级的车型相关。车辆制造商应定义软件升级要满足的先决条件，并确认每当软件升级开始时，这些条件都得到满足。</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车辆制造商可以为每次软件升级提供发布说明。车辆制造商应为每次软件升级提供所定义的先决条件及定义方法的说明。</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条款5.2.4　在执行软件升级前，应确保车辆有足够电量（包括可能恢复到以前版本或使车辆进入安全状态所需的电量）完成软件升级。</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该条款目的是保障车辆具备完成软件升级所需的电量，且具备在升级失败后恢复到以前版本/使车辆进入安全状态所需的电量。该要求不限制技术路线，例如电量检测、电压检测等。</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车辆制造商可以为每次软件升级提供发布说明。车辆制造商应提供所使用电量保障措施的说明文件。</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条款5.2.5　若执行软件升级可能影响车辆安全，在执行软件升级中，应通过技术手段确保车辆安全。</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宋体" w:hAnsi="宋体" w:cs="宋体"/>
          <w:bCs/>
          <w:szCs w:val="21"/>
        </w:rPr>
        <w:t>本条款的目的是要求车辆制造商对执行软件升级是否影响车辆安全进行评估和识别，并通过技术手段确保车辆安全。</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可能影响车辆安全的软件升级项目的示例：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a）升级驻车相关控制器时，车辆驻车功能可能失效，导致在斜坡出现溜坡；</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b）升级车门相关控制器时，车门功能可能失效，导致车内人员被困。</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可提供的文件示例：</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cs="宋体"/>
          <w:bCs/>
          <w:szCs w:val="21"/>
        </w:rPr>
        <w:t>车辆制造商应说明哪些软件升级项目可能影响车辆安全。对于影响车辆安全的软件升级项目，还应说明做了哪些技术手段进行了保护使车辆保持安全。</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条款5.2.6　若执行软件升级可能影响驾驶安全，在执行软件升级中，至少应满足：</w:t>
      </w:r>
    </w:p>
    <w:p>
      <w:pPr>
        <w:keepNext w:val="0"/>
        <w:keepLines w:val="0"/>
        <w:pageBreakBefore w:val="0"/>
        <w:widowControl w:val="0"/>
        <w:numPr>
          <w:ilvl w:val="0"/>
          <w:numId w:val="10"/>
        </w:numPr>
        <w:kinsoku/>
        <w:wordWrap/>
        <w:overflowPunct/>
        <w:topLinePunct w:val="0"/>
        <w:bidi w:val="0"/>
        <w:snapToGrid/>
        <w:spacing w:line="400" w:lineRule="exact"/>
        <w:ind w:left="1467" w:leftChars="404" w:hanging="619" w:firstLineChars="0"/>
        <w:textAlignment w:val="auto"/>
        <w:rPr>
          <w:rFonts w:hint="eastAsia" w:ascii="黑体" w:hAnsi="黑体" w:eastAsia="黑体" w:cs="黑体"/>
          <w:bCs/>
          <w:szCs w:val="21"/>
        </w:rPr>
      </w:pPr>
      <w:r>
        <w:rPr>
          <w:rFonts w:hint="eastAsia" w:ascii="黑体" w:hAnsi="黑体" w:eastAsia="黑体" w:cs="黑体"/>
          <w:bCs/>
          <w:szCs w:val="21"/>
        </w:rPr>
        <w:t>确保车辆不能被驾驶；</w:t>
      </w:r>
    </w:p>
    <w:p>
      <w:pPr>
        <w:keepNext w:val="0"/>
        <w:keepLines w:val="0"/>
        <w:pageBreakBefore w:val="0"/>
        <w:widowControl w:val="0"/>
        <w:numPr>
          <w:ilvl w:val="0"/>
          <w:numId w:val="10"/>
        </w:numPr>
        <w:kinsoku/>
        <w:wordWrap/>
        <w:overflowPunct/>
        <w:topLinePunct w:val="0"/>
        <w:bidi w:val="0"/>
        <w:snapToGrid/>
        <w:spacing w:line="400" w:lineRule="exact"/>
        <w:ind w:left="1467" w:leftChars="404" w:hanging="619" w:firstLineChars="0"/>
        <w:textAlignment w:val="auto"/>
        <w:rPr>
          <w:rFonts w:hint="eastAsia" w:ascii="黑体" w:hAnsi="黑体" w:eastAsia="黑体" w:cs="黑体"/>
          <w:bCs/>
          <w:szCs w:val="21"/>
        </w:rPr>
      </w:pPr>
      <w:r>
        <w:rPr>
          <w:rFonts w:hint="eastAsia" w:ascii="黑体" w:hAnsi="黑体" w:eastAsia="黑体" w:cs="黑体"/>
          <w:bCs/>
          <w:szCs w:val="21"/>
        </w:rPr>
        <w:t>确保任何影响成功执行软件升级或影响车辆安全的车辆功能不能被使用。</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本条款的目的是要求车辆制造商对执行软件升级</w:t>
      </w:r>
      <w:r>
        <w:rPr>
          <w:rFonts w:hint="eastAsia" w:ascii="宋体" w:hAnsi="宋体" w:cs="宋体"/>
          <w:bCs/>
          <w:szCs w:val="21"/>
        </w:rPr>
        <w:t>是否影响驾驶安全进行评估和识别</w:t>
      </w:r>
      <w:r>
        <w:rPr>
          <w:rFonts w:hint="eastAsia" w:ascii="宋体" w:hAnsi="宋体"/>
          <w:bCs/>
          <w:szCs w:val="21"/>
        </w:rPr>
        <w:t>，对于影响驾驶安全的软件升级项目，应采用技术手段确保车辆不能被驾驶，同时为了保障车辆安全和软件升级成功执行，还应限制部分车辆功能的使用。</w:t>
      </w:r>
    </w:p>
    <w:p>
      <w:pPr>
        <w:keepNext w:val="0"/>
        <w:keepLines w:val="0"/>
        <w:pageBreakBefore w:val="0"/>
        <w:widowControl w:val="0"/>
        <w:kinsoku/>
        <w:wordWrap/>
        <w:overflowPunct/>
        <w:topLinePunct w:val="0"/>
        <w:bidi w:val="0"/>
        <w:snapToGrid/>
        <w:spacing w:line="400" w:lineRule="exact"/>
        <w:ind w:left="420" w:firstLine="420"/>
        <w:textAlignment w:val="auto"/>
        <w:rPr>
          <w:rFonts w:ascii="宋体" w:hAnsi="宋体"/>
          <w:bCs/>
          <w:szCs w:val="21"/>
        </w:rPr>
      </w:pPr>
      <w:r>
        <w:rPr>
          <w:rFonts w:hint="eastAsia" w:ascii="宋体" w:hAnsi="宋体"/>
          <w:bCs/>
          <w:szCs w:val="21"/>
        </w:rPr>
        <w:t>可能影响驾驶安全的软件升级项的示例：</w:t>
      </w:r>
    </w:p>
    <w:p>
      <w:pPr>
        <w:keepNext w:val="0"/>
        <w:keepLines w:val="0"/>
        <w:pageBreakBefore w:val="0"/>
        <w:widowControl w:val="0"/>
        <w:numPr>
          <w:ilvl w:val="0"/>
          <w:numId w:val="11"/>
        </w:numPr>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升级制动系统时，车辆制动系统可能不可用，导致行驶过程中无法制动；</w:t>
      </w:r>
    </w:p>
    <w:p>
      <w:pPr>
        <w:keepNext w:val="0"/>
        <w:keepLines w:val="0"/>
        <w:pageBreakBefore w:val="0"/>
        <w:widowControl w:val="0"/>
        <w:numPr>
          <w:ilvl w:val="0"/>
          <w:numId w:val="11"/>
        </w:numPr>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升级转向系统时，车辆转向系统可能不可用，导致行驶过程中无法转向；</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w:t>
      </w:r>
      <w:r>
        <w:rPr>
          <w:rFonts w:hint="eastAsia" w:ascii="黑体" w:hAnsi="黑体" w:eastAsia="黑体"/>
          <w:bCs/>
          <w:szCs w:val="21"/>
        </w:rPr>
        <w:t>文件</w:t>
      </w:r>
      <w:r>
        <w:rPr>
          <w:rFonts w:hint="eastAsia" w:ascii="黑体" w:hAnsi="黑体" w:eastAsia="黑体"/>
          <w:szCs w:val="21"/>
        </w:rPr>
        <w:t>示例：</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cs="宋体"/>
          <w:bCs/>
          <w:szCs w:val="21"/>
        </w:rPr>
        <w:t>车辆制造商应说明哪些软件升级项目可能影响驾驶安全。对于影响驾驶安全的软件升级项目，还应说明限制了哪些车辆功能用于保障</w:t>
      </w:r>
      <w:r>
        <w:rPr>
          <w:rFonts w:hint="eastAsia" w:ascii="宋体" w:hAnsi="宋体"/>
          <w:bCs/>
          <w:szCs w:val="21"/>
        </w:rPr>
        <w:t>车辆安全和软件升级成功执行。</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条款5.2.7　在执行软件升级中，不应禁止车辆用户从车内解除车门锁止状态。</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本条款目的是要求车辆在执行软件升级的过程中，至少保障车辆用户可以从车内解除车门锁止状态。避免一些紧急情况下，车内用户无法下车。技术方案不限行。</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cs="宋体"/>
          <w:bCs/>
          <w:szCs w:val="21"/>
        </w:rPr>
        <w:t>车辆制造商提供解锁车门的方法说明。</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hint="eastAsia" w:ascii="黑体" w:hAnsi="黑体" w:eastAsia="黑体"/>
          <w:bCs/>
          <w:szCs w:val="21"/>
        </w:rPr>
      </w:pPr>
      <w:r>
        <w:rPr>
          <w:rFonts w:hint="eastAsia" w:ascii="黑体" w:hAnsi="黑体" w:eastAsia="黑体"/>
          <w:bCs/>
          <w:szCs w:val="21"/>
        </w:rPr>
        <w:t>条款5.2.8　在执行软件升级后，车辆应：</w:t>
      </w:r>
    </w:p>
    <w:p>
      <w:pPr>
        <w:keepNext w:val="0"/>
        <w:keepLines w:val="0"/>
        <w:pageBreakBefore w:val="0"/>
        <w:widowControl w:val="0"/>
        <w:numPr>
          <w:ilvl w:val="0"/>
          <w:numId w:val="12"/>
        </w:numPr>
        <w:kinsoku/>
        <w:wordWrap/>
        <w:overflowPunct/>
        <w:topLinePunct w:val="0"/>
        <w:bidi w:val="0"/>
        <w:snapToGrid/>
        <w:spacing w:line="400" w:lineRule="exact"/>
        <w:ind w:left="1272" w:leftChars="404" w:hanging="424" w:firstLineChars="0"/>
        <w:textAlignment w:val="auto"/>
        <w:rPr>
          <w:rFonts w:hint="eastAsia" w:ascii="黑体" w:hAnsi="黑体" w:eastAsia="黑体" w:cs="黑体"/>
          <w:bCs/>
          <w:szCs w:val="21"/>
        </w:rPr>
      </w:pPr>
      <w:r>
        <w:rPr>
          <w:rFonts w:hint="eastAsia" w:ascii="黑体" w:hAnsi="黑体" w:eastAsia="黑体" w:cs="黑体"/>
          <w:bCs/>
          <w:szCs w:val="21"/>
        </w:rPr>
        <w:t>告知车辆用户升级的结果（成功或失败）；</w:t>
      </w:r>
    </w:p>
    <w:p>
      <w:pPr>
        <w:keepNext w:val="0"/>
        <w:keepLines w:val="0"/>
        <w:pageBreakBefore w:val="0"/>
        <w:widowControl w:val="0"/>
        <w:numPr>
          <w:ilvl w:val="0"/>
          <w:numId w:val="12"/>
        </w:numPr>
        <w:kinsoku/>
        <w:wordWrap/>
        <w:overflowPunct/>
        <w:topLinePunct w:val="0"/>
        <w:bidi w:val="0"/>
        <w:snapToGrid/>
        <w:spacing w:line="400" w:lineRule="exact"/>
        <w:ind w:left="1272" w:leftChars="404" w:hanging="424" w:firstLineChars="0"/>
        <w:textAlignment w:val="auto"/>
        <w:rPr>
          <w:rFonts w:hint="eastAsia" w:ascii="黑体" w:hAnsi="黑体" w:eastAsia="黑体" w:cs="黑体"/>
          <w:bCs/>
          <w:szCs w:val="21"/>
        </w:rPr>
      </w:pPr>
      <w:r>
        <w:rPr>
          <w:rFonts w:hint="eastAsia" w:ascii="黑体" w:hAnsi="黑体" w:eastAsia="黑体" w:cs="黑体"/>
          <w:bCs/>
          <w:szCs w:val="21"/>
        </w:rPr>
        <w:t>若成功，告知车辆用户实施的更新，以及车载电子用户手册（如果有）的任何相关更新；</w:t>
      </w:r>
    </w:p>
    <w:p>
      <w:pPr>
        <w:keepNext w:val="0"/>
        <w:keepLines w:val="0"/>
        <w:pageBreakBefore w:val="0"/>
        <w:widowControl w:val="0"/>
        <w:numPr>
          <w:ilvl w:val="0"/>
          <w:numId w:val="12"/>
        </w:numPr>
        <w:kinsoku/>
        <w:wordWrap/>
        <w:overflowPunct/>
        <w:topLinePunct w:val="0"/>
        <w:bidi w:val="0"/>
        <w:snapToGrid/>
        <w:spacing w:line="400" w:lineRule="exact"/>
        <w:ind w:left="1272" w:leftChars="404" w:hanging="424" w:firstLineChars="0"/>
        <w:textAlignment w:val="auto"/>
        <w:rPr>
          <w:rFonts w:hint="eastAsia" w:ascii="黑体" w:hAnsi="黑体" w:eastAsia="黑体" w:cs="黑体"/>
          <w:bCs/>
          <w:szCs w:val="21"/>
        </w:rPr>
      </w:pPr>
      <w:r>
        <w:rPr>
          <w:rFonts w:hint="eastAsia" w:ascii="黑体" w:hAnsi="黑体" w:eastAsia="黑体" w:cs="黑体"/>
          <w:bCs/>
          <w:szCs w:val="21"/>
        </w:rPr>
        <w:t>若失败，告知车辆用户处理建议。</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本条款目的是要求车辆制造商在软件升级执行后，应将软件升级的结果及附加信息告知车辆用户。对于具有车载电子用户手册的，应及时更新手册内容避免对车辆用户造成误导。</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条款5.2.9　若软件升级失败或中断，应确保将系统恢复到以前的可用版本或将车辆置于安全状态。</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条款的目的是要求车辆制造商对升级失败或中断进行管理，建议优先考虑恢复到以前可用的版本；当不可能或不希望恢复到以前的版本时，至少应该保证车辆处于安全状态。“安全状态”由车辆制造商具体定义并证明其有效性。</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bCs/>
          <w:szCs w:val="21"/>
        </w:rPr>
      </w:pPr>
      <w:r>
        <w:rPr>
          <w:rFonts w:hint="eastAsia" w:ascii="黑体" w:hAnsi="黑体" w:eastAsia="黑体"/>
          <w:szCs w:val="21"/>
        </w:rPr>
        <w:t>可提供的文件示例：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为确保满足该要求，可提供以下相关内容作为证明：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(a) 软件升级失败或中断后的处理策略；</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(b)</w:t>
      </w:r>
      <w:r>
        <w:rPr>
          <w:rFonts w:ascii="宋体" w:hAnsi="宋体"/>
          <w:bCs/>
          <w:szCs w:val="21"/>
        </w:rPr>
        <w:t xml:space="preserve"> </w:t>
      </w:r>
      <w:r>
        <w:rPr>
          <w:rFonts w:hint="eastAsia" w:ascii="宋体" w:hAnsi="宋体"/>
          <w:bCs/>
          <w:szCs w:val="21"/>
        </w:rPr>
        <w:t>将恢复版本的说明；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(c)</w:t>
      </w:r>
      <w:r>
        <w:rPr>
          <w:rFonts w:ascii="宋体" w:hAnsi="宋体"/>
          <w:bCs/>
          <w:szCs w:val="21"/>
        </w:rPr>
        <w:t xml:space="preserve"> </w:t>
      </w:r>
      <w:r>
        <w:rPr>
          <w:rFonts w:hint="eastAsia" w:ascii="宋体" w:hAnsi="宋体"/>
          <w:bCs/>
          <w:szCs w:val="21"/>
        </w:rPr>
        <w:t>安全状态的说明；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(d) 为达到安全状态而添加/禁用的功能。</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条款6.2　升级包真实性完整性试验</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本试验是为了验证5</w:t>
      </w:r>
      <w:r>
        <w:rPr>
          <w:rFonts w:ascii="宋体" w:hAnsi="宋体"/>
          <w:bCs/>
          <w:szCs w:val="21"/>
        </w:rPr>
        <w:t>.1.1</w:t>
      </w:r>
      <w:r>
        <w:rPr>
          <w:rFonts w:hint="eastAsia" w:ascii="宋体" w:hAnsi="宋体"/>
          <w:bCs/>
          <w:szCs w:val="21"/>
        </w:rPr>
        <w:t>的要求。</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bCs/>
          <w:szCs w:val="21"/>
        </w:rPr>
        <w:t>使用升级包篡改工具对车辆制造商提供的升级包进行</w:t>
      </w:r>
      <w:r>
        <w:rPr>
          <w:rFonts w:hint="eastAsia"/>
        </w:rPr>
        <w:t>损害</w:t>
      </w:r>
      <w:r>
        <w:rPr>
          <w:rFonts w:hint="eastAsia" w:ascii="宋体" w:hAnsi="宋体"/>
          <w:bCs/>
          <w:szCs w:val="21"/>
        </w:rPr>
        <w:t>，将损害后的升级包通过技术手段放入车辆，通过影音设备记录软件升级结果，</w:t>
      </w:r>
      <w:r>
        <w:rPr>
          <w:rFonts w:hint="eastAsia" w:ascii="宋体" w:hAnsi="宋体" w:cs="宋体"/>
          <w:bCs/>
          <w:szCs w:val="21"/>
        </w:rPr>
        <w:t>将日志校验结果与车辆</w:t>
      </w:r>
      <w:r>
        <w:rPr>
          <w:rFonts w:hint="eastAsia" w:ascii="宋体" w:hAnsi="宋体"/>
          <w:bCs/>
          <w:szCs w:val="21"/>
        </w:rPr>
        <w:t>制造商提供的</w:t>
      </w:r>
      <w:r>
        <w:rPr>
          <w:rFonts w:hint="eastAsia" w:ascii="宋体" w:hAnsi="宋体" w:cs="宋体"/>
          <w:bCs/>
          <w:szCs w:val="21"/>
        </w:rPr>
        <w:t>保护机制进行对比，软件升级不执行且日志校验结果符合保护机制，则试验通过。</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条款6.3　软件识别码/软件版本更新及读取试验</w:t>
      </w:r>
    </w:p>
    <w:p>
      <w:pPr>
        <w:keepNext w:val="0"/>
        <w:keepLines w:val="0"/>
        <w:pageBreakBefore w:val="0"/>
        <w:widowControl w:val="0"/>
        <w:kinsoku/>
        <w:wordWrap/>
        <w:overflowPunct/>
        <w:topLinePunct w:val="0"/>
        <w:bidi w:val="0"/>
        <w:snapToGrid/>
        <w:spacing w:line="400" w:lineRule="exact"/>
        <w:ind w:firstLine="420"/>
        <w:textAlignment w:val="auto"/>
        <w:rPr>
          <w:rFonts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宋体" w:hAnsi="宋体"/>
          <w:bCs/>
          <w:szCs w:val="21"/>
        </w:rPr>
        <w:t>本试验是为了验证5</w:t>
      </w:r>
      <w:r>
        <w:rPr>
          <w:rFonts w:ascii="宋体" w:hAnsi="宋体"/>
          <w:bCs/>
          <w:szCs w:val="21"/>
        </w:rPr>
        <w:t>.1.2</w:t>
      </w:r>
      <w:r>
        <w:rPr>
          <w:rFonts w:hint="eastAsia" w:ascii="宋体" w:hAnsi="宋体"/>
          <w:bCs/>
          <w:szCs w:val="21"/>
        </w:rPr>
        <w:t>和5</w:t>
      </w:r>
      <w:r>
        <w:rPr>
          <w:rFonts w:ascii="宋体" w:hAnsi="宋体"/>
          <w:bCs/>
          <w:szCs w:val="21"/>
        </w:rPr>
        <w:t>.1.3</w:t>
      </w:r>
      <w:r>
        <w:rPr>
          <w:rFonts w:hint="eastAsia" w:ascii="宋体" w:hAnsi="宋体"/>
          <w:bCs/>
          <w:szCs w:val="21"/>
        </w:rPr>
        <w:t>的要求。</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如果车辆上存储了软件识别码，车辆制造商应提供相应升级包，并提供软件识别码的标准接口的读取方式，包括通信协议、读取的诊断服务、诊断DID等。对比软件升级前后的软件识别码，符合车辆制造商的更新规则，则试验通过。</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如果车辆上没有使用软件识别码，车辆制造商应提供相应升级包，并提供各相关软件版本的标准接口的读取方式，包括通信协议、读取的诊断服务、诊断DID等。对比软件升级前后的软件版本，符合车辆制造商的更新规则，则试验通过。</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条款6.4　软件识别码/软件版本防篡改试验</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宋体" w:hAnsi="宋体"/>
          <w:bCs/>
          <w:szCs w:val="21"/>
        </w:rPr>
        <w:t>本试验是为了验证5</w:t>
      </w:r>
      <w:r>
        <w:rPr>
          <w:rFonts w:ascii="宋体" w:hAnsi="宋体"/>
          <w:bCs/>
          <w:szCs w:val="21"/>
        </w:rPr>
        <w:t>.1.4</w:t>
      </w:r>
      <w:r>
        <w:rPr>
          <w:rFonts w:hint="eastAsia" w:ascii="宋体" w:hAnsi="宋体"/>
          <w:bCs/>
          <w:szCs w:val="21"/>
        </w:rPr>
        <w:t>的要求。</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根据车辆制造商提供的软件识别码</w:t>
      </w:r>
      <w:bookmarkStart w:id="24" w:name="_Hlk99697165"/>
      <w:r>
        <w:rPr>
          <w:rFonts w:hint="eastAsia" w:ascii="宋体" w:hAnsi="宋体"/>
          <w:bCs/>
          <w:szCs w:val="21"/>
        </w:rPr>
        <w:t>和/或</w:t>
      </w:r>
      <w:bookmarkEnd w:id="24"/>
      <w:r>
        <w:rPr>
          <w:rFonts w:hint="eastAsia" w:ascii="宋体" w:hAnsi="宋体"/>
          <w:bCs/>
          <w:szCs w:val="21"/>
        </w:rPr>
        <w:t>软件版本的</w:t>
      </w:r>
      <w:r>
        <w:rPr>
          <w:rFonts w:hint="eastAsia" w:ascii="宋体" w:hAnsi="宋体" w:cs="宋体"/>
          <w:bCs/>
          <w:szCs w:val="21"/>
        </w:rPr>
        <w:t>存储位置或存储方式</w:t>
      </w:r>
      <w:r>
        <w:rPr>
          <w:rFonts w:hint="eastAsia" w:ascii="宋体" w:hAnsi="宋体"/>
          <w:bCs/>
          <w:szCs w:val="21"/>
        </w:rPr>
        <w:t>，</w:t>
      </w:r>
      <w:r>
        <w:rPr>
          <w:rFonts w:hint="eastAsia" w:ascii="宋体" w:hAnsi="宋体" w:cs="宋体"/>
          <w:bCs/>
          <w:szCs w:val="21"/>
        </w:rPr>
        <w:t>以及采取了哪些措施来保护其免受篡改</w:t>
      </w:r>
      <w:r>
        <w:rPr>
          <w:rFonts w:hint="eastAsia" w:ascii="宋体" w:hAnsi="宋体"/>
          <w:bCs/>
          <w:szCs w:val="21"/>
        </w:rPr>
        <w:t>，尝试修改软件识别码和/或软件版本。软件识别码和/或软件版本不能被篡改，则试验通过。</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条款6.5　用户告知试验</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本试验是为了验证5</w:t>
      </w:r>
      <w:r>
        <w:rPr>
          <w:rFonts w:ascii="宋体" w:hAnsi="宋体"/>
          <w:bCs/>
          <w:szCs w:val="21"/>
        </w:rPr>
        <w:t>.2.1</w:t>
      </w:r>
      <w:r>
        <w:rPr>
          <w:rFonts w:hint="eastAsia" w:ascii="宋体" w:hAnsi="宋体"/>
          <w:bCs/>
          <w:szCs w:val="21"/>
        </w:rPr>
        <w:t>的要求。本试验针对在线升级。</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条款6.6　用户确认试验</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本试验是为了验证5</w:t>
      </w:r>
      <w:r>
        <w:rPr>
          <w:rFonts w:ascii="宋体" w:hAnsi="宋体"/>
          <w:bCs/>
          <w:szCs w:val="21"/>
        </w:rPr>
        <w:t>.2.2</w:t>
      </w:r>
      <w:r>
        <w:rPr>
          <w:rFonts w:hint="eastAsia" w:ascii="宋体" w:hAnsi="宋体"/>
          <w:bCs/>
          <w:szCs w:val="21"/>
        </w:rPr>
        <w:t>的要求。本试验针对在线升级。</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条款6.7　先决条件试验</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本试验是为了验证5</w:t>
      </w:r>
      <w:r>
        <w:rPr>
          <w:rFonts w:ascii="宋体" w:hAnsi="宋体"/>
          <w:bCs/>
          <w:szCs w:val="21"/>
        </w:rPr>
        <w:t>.2.3</w:t>
      </w:r>
      <w:r>
        <w:rPr>
          <w:rFonts w:hint="eastAsia" w:ascii="宋体" w:hAnsi="宋体"/>
          <w:bCs/>
          <w:szCs w:val="21"/>
        </w:rPr>
        <w:t>的要求。本试验针对在线升级。</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根据车辆制造商提供的先决条件说明，在满足所有先决条件情况下，触发软件升级，查看是否能执行软件升级；在不满足先决条件情况下，触发升级，查看是否能执行软件升级。在满足所有先决条件情况下能执行软件升级，且在不满足先决条件情况下不能执行软件升级，则试验通过。</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条款6.8　电量保障试验</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本试验是为了验证5</w:t>
      </w:r>
      <w:r>
        <w:rPr>
          <w:rFonts w:ascii="宋体" w:hAnsi="宋体"/>
          <w:bCs/>
          <w:szCs w:val="21"/>
        </w:rPr>
        <w:t>.2.4</w:t>
      </w:r>
      <w:r>
        <w:rPr>
          <w:rFonts w:hint="eastAsia" w:ascii="宋体" w:hAnsi="宋体"/>
          <w:bCs/>
          <w:szCs w:val="21"/>
        </w:rPr>
        <w:t>的要求。本试验针对在线升级。</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根据车辆制造商提供的</w:t>
      </w:r>
      <w:r>
        <w:rPr>
          <w:rFonts w:hint="eastAsia" w:ascii="宋体" w:hAnsi="宋体" w:cs="宋体"/>
          <w:bCs/>
          <w:szCs w:val="21"/>
        </w:rPr>
        <w:t>电量保障措施的说明文件</w:t>
      </w:r>
      <w:r>
        <w:rPr>
          <w:rFonts w:hint="eastAsia" w:ascii="宋体" w:hAnsi="宋体"/>
          <w:bCs/>
          <w:szCs w:val="21"/>
        </w:rPr>
        <w:t>，在满足电量保障情况下，触发软件升级，查看是否能执行软件升级；在不满足电量保障情况下，触发软件升级，查看是否能执行软件升级。在满足电量保障情况下能执行软件升级，且在不满足电量保障情况下不能执行软件升级，则试验通过。</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条款6.9　车辆安全试验</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本试验是为了验证5</w:t>
      </w:r>
      <w:r>
        <w:rPr>
          <w:rFonts w:ascii="宋体" w:hAnsi="宋体"/>
          <w:bCs/>
          <w:szCs w:val="21"/>
        </w:rPr>
        <w:t>.2.5</w:t>
      </w:r>
      <w:r>
        <w:rPr>
          <w:rFonts w:hint="eastAsia" w:ascii="宋体" w:hAnsi="宋体"/>
          <w:bCs/>
          <w:szCs w:val="21"/>
        </w:rPr>
        <w:t>的要求。本试验针对在线升级。</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cs="宋体"/>
          <w:bCs/>
          <w:szCs w:val="21"/>
        </w:rPr>
      </w:pPr>
      <w:r>
        <w:rPr>
          <w:rFonts w:hint="eastAsia" w:ascii="宋体" w:hAnsi="宋体" w:cs="宋体"/>
          <w:bCs/>
          <w:szCs w:val="21"/>
        </w:rPr>
        <w:t>当车辆制造商声明该车型不涉及会影响车辆安全的软件升级项目，则本试验不适用。</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当存在影响车辆安全的软件升级项目，根据车辆制造商提供的</w:t>
      </w:r>
      <w:r>
        <w:rPr>
          <w:rFonts w:hint="eastAsia" w:ascii="宋体" w:hAnsi="宋体" w:cs="宋体"/>
          <w:bCs/>
          <w:szCs w:val="21"/>
        </w:rPr>
        <w:t>影响车辆安全的软件升级项目说明开展相应试验。如果车辆制造商设定的技术保护手段均被实施，则试验通过。</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可能影响车辆安全的软件升级项的示例：</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a）升级驻车相关控制器时，车辆驻车功能可能失效，导致在斜坡出现溜坡；</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ascii="宋体" w:hAnsi="宋体"/>
          <w:bCs/>
          <w:szCs w:val="21"/>
        </w:rPr>
        <w:t>b</w:t>
      </w:r>
      <w:r>
        <w:rPr>
          <w:rFonts w:hint="eastAsia" w:ascii="宋体" w:hAnsi="宋体"/>
          <w:bCs/>
          <w:szCs w:val="21"/>
        </w:rPr>
        <w:t>）升级车门相关控制器时，车门功能可能失效，导致车内人员被困。</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条款6.10　驾驶安全试验</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本试验是为了验证5</w:t>
      </w:r>
      <w:r>
        <w:rPr>
          <w:rFonts w:ascii="宋体" w:hAnsi="宋体"/>
          <w:bCs/>
          <w:szCs w:val="21"/>
        </w:rPr>
        <w:t>.2.6</w:t>
      </w:r>
      <w:r>
        <w:rPr>
          <w:rFonts w:hint="eastAsia" w:ascii="宋体" w:hAnsi="宋体"/>
          <w:bCs/>
          <w:szCs w:val="21"/>
        </w:rPr>
        <w:t>的要求。本试验针对在线升级。</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当车辆制造商声明该车型不涉及会影响驾驶安全的软件升级项目，则本试验不适用。</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当存在影响驾驶安全的软件升级项目，根据车辆制造商提供的</w:t>
      </w:r>
      <w:r>
        <w:rPr>
          <w:rFonts w:hint="eastAsia" w:ascii="宋体" w:hAnsi="宋体" w:cs="宋体"/>
          <w:bCs/>
          <w:szCs w:val="21"/>
        </w:rPr>
        <w:t>影响驾驶安全的软件升级项目说明开展相应试验。如果在执行软件升级中，车辆不能被驾驶，且影响车辆安全和影响软件升级成功执行的车辆功能不能被使用，则试验通过。</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条款6.11　车门防锁止试验</w:t>
      </w:r>
    </w:p>
    <w:p>
      <w:pPr>
        <w:keepNext w:val="0"/>
        <w:keepLines w:val="0"/>
        <w:pageBreakBefore w:val="0"/>
        <w:widowControl w:val="0"/>
        <w:kinsoku/>
        <w:wordWrap/>
        <w:overflowPunct/>
        <w:topLinePunct w:val="0"/>
        <w:bidi w:val="0"/>
        <w:snapToGrid/>
        <w:spacing w:line="400" w:lineRule="exact"/>
        <w:ind w:firstLine="420"/>
        <w:textAlignment w:val="auto"/>
        <w:rPr>
          <w:rFonts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本试验是为了验证5</w:t>
      </w:r>
      <w:r>
        <w:rPr>
          <w:rFonts w:ascii="宋体" w:hAnsi="宋体"/>
          <w:bCs/>
          <w:szCs w:val="21"/>
        </w:rPr>
        <w:t>.2.7</w:t>
      </w:r>
      <w:r>
        <w:rPr>
          <w:rFonts w:hint="eastAsia" w:ascii="宋体" w:hAnsi="宋体"/>
          <w:bCs/>
          <w:szCs w:val="21"/>
        </w:rPr>
        <w:t>的要求。本试验针对在线升级。</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条款6.12　结果告知试验</w:t>
      </w:r>
    </w:p>
    <w:p>
      <w:pPr>
        <w:keepNext w:val="0"/>
        <w:keepLines w:val="0"/>
        <w:pageBreakBefore w:val="0"/>
        <w:widowControl w:val="0"/>
        <w:kinsoku/>
        <w:wordWrap/>
        <w:overflowPunct/>
        <w:topLinePunct w:val="0"/>
        <w:bidi w:val="0"/>
        <w:snapToGrid/>
        <w:spacing w:line="400" w:lineRule="exact"/>
        <w:ind w:firstLine="420"/>
        <w:textAlignment w:val="auto"/>
        <w:rPr>
          <w:rFonts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本试验是为了验证5</w:t>
      </w:r>
      <w:r>
        <w:rPr>
          <w:rFonts w:ascii="宋体" w:hAnsi="宋体"/>
          <w:bCs/>
          <w:szCs w:val="21"/>
        </w:rPr>
        <w:t>.2.8</w:t>
      </w:r>
      <w:r>
        <w:rPr>
          <w:rFonts w:hint="eastAsia" w:ascii="宋体" w:hAnsi="宋体"/>
          <w:bCs/>
          <w:szCs w:val="21"/>
        </w:rPr>
        <w:t>的要求。本试验针对在线升级。</w:t>
      </w:r>
    </w:p>
    <w:p>
      <w:pPr>
        <w:pStyle w:val="24"/>
        <w:keepNext w:val="0"/>
        <w:keepLines w:val="0"/>
        <w:pageBreakBefore w:val="0"/>
        <w:widowControl w:val="0"/>
        <w:numPr>
          <w:ilvl w:val="0"/>
          <w:numId w:val="7"/>
        </w:numPr>
        <w:kinsoku/>
        <w:wordWrap/>
        <w:overflowPunct/>
        <w:topLinePunct w:val="0"/>
        <w:bidi w:val="0"/>
        <w:snapToGrid/>
        <w:spacing w:line="400" w:lineRule="exact"/>
        <w:ind w:left="426" w:firstLineChars="0"/>
        <w:textAlignment w:val="auto"/>
        <w:rPr>
          <w:rFonts w:ascii="黑体" w:hAnsi="黑体" w:eastAsia="黑体"/>
          <w:bCs/>
          <w:szCs w:val="21"/>
        </w:rPr>
      </w:pPr>
      <w:r>
        <w:rPr>
          <w:rFonts w:hint="eastAsia" w:ascii="黑体" w:hAnsi="黑体" w:eastAsia="黑体"/>
          <w:bCs/>
          <w:szCs w:val="21"/>
        </w:rPr>
        <w:t>条款6.13　失败或中断处理试验</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黑体" w:hAnsi="黑体" w:eastAsia="黑体"/>
          <w:bCs/>
          <w:szCs w:val="21"/>
        </w:rPr>
      </w:pPr>
      <w:r>
        <w:rPr>
          <w:rFonts w:hint="eastAsia" w:ascii="黑体" w:hAnsi="黑体" w:eastAsia="黑体"/>
          <w:bCs/>
          <w:szCs w:val="21"/>
        </w:rPr>
        <w:t>说明：</w:t>
      </w:r>
    </w:p>
    <w:p>
      <w:pPr>
        <w:keepNext w:val="0"/>
        <w:keepLines w:val="0"/>
        <w:pageBreakBefore w:val="0"/>
        <w:widowControl w:val="0"/>
        <w:kinsoku/>
        <w:wordWrap/>
        <w:overflowPunct/>
        <w:topLinePunct w:val="0"/>
        <w:bidi w:val="0"/>
        <w:snapToGrid/>
        <w:spacing w:line="400" w:lineRule="exact"/>
        <w:ind w:firstLine="420"/>
        <w:textAlignment w:val="auto"/>
        <w:rPr>
          <w:rFonts w:ascii="宋体" w:hAnsi="宋体"/>
          <w:bCs/>
          <w:szCs w:val="21"/>
        </w:rPr>
      </w:pPr>
      <w:r>
        <w:rPr>
          <w:rFonts w:hint="eastAsia" w:ascii="宋体" w:hAnsi="宋体"/>
          <w:bCs/>
          <w:szCs w:val="21"/>
        </w:rPr>
        <w:t>本试验是为了验证5</w:t>
      </w:r>
      <w:r>
        <w:rPr>
          <w:rFonts w:ascii="宋体" w:hAnsi="宋体"/>
          <w:bCs/>
          <w:szCs w:val="21"/>
        </w:rPr>
        <w:t>.2.9</w:t>
      </w:r>
      <w:r>
        <w:rPr>
          <w:rFonts w:hint="eastAsia" w:ascii="宋体" w:hAnsi="宋体"/>
          <w:bCs/>
          <w:szCs w:val="21"/>
        </w:rPr>
        <w:t>的要求。本试验针对在线升级。</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根据车辆制造商提供的触发升级失败或中断的方法使软件升级失败或中断，查看车辆状态：</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bCs/>
          <w:szCs w:val="21"/>
        </w:rPr>
      </w:pPr>
      <w:r>
        <w:rPr>
          <w:rFonts w:hint="eastAsia" w:ascii="宋体" w:hAnsi="宋体"/>
          <w:bCs/>
          <w:szCs w:val="21"/>
        </w:rPr>
        <w:t>a）当车辆支持恢复到以前的可用版本，读取当前状态下的软件版本，如果恢复到车辆制造商声明的预期恢复的版本，则试验通过；</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jc w:val="left"/>
        <w:textAlignment w:val="auto"/>
        <w:outlineLvl w:val="0"/>
        <w:rPr>
          <w:rFonts w:hint="eastAsia"/>
          <w:b/>
          <w:szCs w:val="21"/>
        </w:rPr>
      </w:pPr>
      <w:r>
        <w:rPr>
          <w:rFonts w:hint="eastAsia" w:ascii="宋体" w:hAnsi="宋体"/>
          <w:bCs/>
          <w:szCs w:val="21"/>
        </w:rPr>
        <w:t>b）当车辆未恢复到或不支持恢复到以前版本，如果车辆进入车辆制造商声明的安全状态，则试验通过。</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2"/>
        <w:jc w:val="left"/>
        <w:textAlignment w:val="auto"/>
        <w:outlineLvl w:val="0"/>
        <w:rPr>
          <w:b/>
          <w:szCs w:val="21"/>
        </w:rPr>
      </w:pPr>
      <w:r>
        <w:rPr>
          <w:rFonts w:hint="eastAsia"/>
          <w:b/>
          <w:szCs w:val="21"/>
        </w:rPr>
        <w:t>（五）</w:t>
      </w:r>
      <w:r>
        <w:rPr>
          <w:b/>
          <w:szCs w:val="21"/>
        </w:rPr>
        <w:t>主要试验（或）验证情况分析</w:t>
      </w:r>
    </w:p>
    <w:p>
      <w:pPr>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cs="宋体"/>
          <w:szCs w:val="21"/>
        </w:rPr>
      </w:pPr>
      <w:r>
        <w:rPr>
          <w:rFonts w:hint="eastAsia" w:ascii="宋体" w:hAnsi="宋体" w:cs="宋体"/>
          <w:snapToGrid w:val="0"/>
          <w:szCs w:val="21"/>
        </w:rPr>
        <w:t>根据工作安排，中国汽车技术研究中心有限公司、工业和信息化部计算机与微电子发展研究中心（中国软件评测中心）、中国汽车工程研究院股份有限公司、上海机动车检测认证技术研究中心有限公司、招商局检测车辆技术研究院有限公司、襄阳达安汽车检测中心有限公司等检测机构以及北京汽车研究总院有限公司、比亚迪汽车工业有限公司、上海汽车集团股份有限公司、重庆长安汽车股份有限公司、长城汽车股份有限公司、中国第一汽车股份有限公司、上汽大通汽车有限公司、一汽解放汽车有限公司、合众新能源汽车有限公司、华人运通（江苏）技术有限公司、北京车和家汽车科技有限公司、上海蔚来汽车有限公司、威马汽车科技集团有限公司、广州小鹏汽车科技有限公司、上汽大众汽车有限公司、上汽通用五菱汽车股份有限公司、一汽-大众汽车有限公司、宇通客车股份有限公司、奇瑞汽车股份有限公司、广州汽车集团股份有限公司、安徽江淮汽车集团股份有限公司、吉利汽车研究院（宁波）有限公司、宝马（中国）服务有限公司、戴姆勒大中华区投资有限公司、标致雪铁龙（中国）汽车贸易有限公司、沃尔沃汽车（亚太）投资控股有限公司、特斯拉汽车（上海）有限公司、本田技研工业（中国）投资有限公司等单位进行了相关的标准验证的试运行工作。验证内容包括标准草案确定的体系要求和主要试验项目。</w:t>
      </w:r>
      <w:r>
        <w:rPr>
          <w:rFonts w:hint="eastAsia" w:ascii="宋体" w:hAnsi="宋体" w:cs="宋体"/>
          <w:szCs w:val="21"/>
        </w:rPr>
        <w:t>由于验证内容比较多，以下仅选择有代表性的验证内容对主要验证情况进行说明。</w:t>
      </w:r>
    </w:p>
    <w:p>
      <w:pPr>
        <w:pStyle w:val="24"/>
        <w:numPr>
          <w:ilvl w:val="0"/>
          <w:numId w:val="13"/>
        </w:numPr>
        <w:ind w:firstLineChars="0"/>
        <w:rPr>
          <w:rFonts w:hint="eastAsia" w:ascii="黑体" w:hAnsi="黑体" w:eastAsia="黑体"/>
          <w:bCs/>
          <w:szCs w:val="21"/>
        </w:rPr>
      </w:pPr>
      <w:r>
        <w:rPr>
          <w:rFonts w:hint="eastAsia" w:ascii="黑体" w:hAnsi="黑体" w:eastAsia="黑体"/>
          <w:bCs/>
          <w:szCs w:val="21"/>
        </w:rPr>
        <w:t>软件升级管理体系审查结果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120"/>
        <w:gridCol w:w="2199"/>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shd w:val="clear" w:color="auto" w:fill="D0CECE"/>
          </w:tcPr>
          <w:p>
            <w:pPr>
              <w:pStyle w:val="21"/>
              <w:jc w:val="center"/>
              <w:outlineLvl w:val="1"/>
              <w:rPr>
                <w:rFonts w:hint="eastAsia" w:hAnsi="宋体"/>
                <w:color w:val="auto"/>
                <w:sz w:val="18"/>
                <w:szCs w:val="18"/>
              </w:rPr>
            </w:pPr>
            <w:r>
              <w:rPr>
                <w:rFonts w:hint="eastAsia" w:hAnsi="宋体"/>
                <w:color w:val="auto"/>
                <w:sz w:val="18"/>
                <w:szCs w:val="18"/>
              </w:rPr>
              <w:t>序号</w:t>
            </w:r>
          </w:p>
        </w:tc>
        <w:tc>
          <w:tcPr>
            <w:tcW w:w="657" w:type="pct"/>
            <w:shd w:val="clear" w:color="auto" w:fill="D0CECE"/>
          </w:tcPr>
          <w:p>
            <w:pPr>
              <w:pStyle w:val="21"/>
              <w:jc w:val="center"/>
              <w:outlineLvl w:val="1"/>
              <w:rPr>
                <w:rFonts w:hint="eastAsia" w:hAnsi="宋体"/>
                <w:color w:val="auto"/>
                <w:sz w:val="18"/>
                <w:szCs w:val="18"/>
              </w:rPr>
            </w:pPr>
            <w:r>
              <w:rPr>
                <w:rFonts w:hint="eastAsia" w:hAnsi="宋体"/>
                <w:color w:val="auto"/>
                <w:sz w:val="18"/>
                <w:szCs w:val="18"/>
              </w:rPr>
              <w:t>标准条款</w:t>
            </w:r>
          </w:p>
        </w:tc>
        <w:tc>
          <w:tcPr>
            <w:tcW w:w="1290" w:type="pct"/>
            <w:shd w:val="clear" w:color="auto" w:fill="D0CECE"/>
          </w:tcPr>
          <w:p>
            <w:pPr>
              <w:pStyle w:val="21"/>
              <w:jc w:val="center"/>
              <w:outlineLvl w:val="1"/>
              <w:rPr>
                <w:rFonts w:hAnsi="宋体"/>
                <w:color w:val="auto"/>
                <w:sz w:val="18"/>
                <w:szCs w:val="18"/>
              </w:rPr>
            </w:pPr>
            <w:r>
              <w:rPr>
                <w:rFonts w:hint="eastAsia" w:hAnsi="宋体"/>
                <w:color w:val="auto"/>
                <w:sz w:val="18"/>
                <w:szCs w:val="18"/>
              </w:rPr>
              <w:t>通过情况</w:t>
            </w:r>
          </w:p>
        </w:tc>
        <w:tc>
          <w:tcPr>
            <w:tcW w:w="2687" w:type="pct"/>
            <w:shd w:val="clear" w:color="auto" w:fill="D0CECE"/>
          </w:tcPr>
          <w:p>
            <w:pPr>
              <w:pStyle w:val="21"/>
              <w:jc w:val="center"/>
              <w:outlineLvl w:val="1"/>
              <w:rPr>
                <w:rFonts w:hAnsi="宋体"/>
                <w:color w:val="auto"/>
                <w:sz w:val="18"/>
                <w:szCs w:val="18"/>
              </w:rPr>
            </w:pPr>
            <w:r>
              <w:rPr>
                <w:rFonts w:hint="eastAsia" w:hAnsi="宋体"/>
                <w:color w:val="auto"/>
                <w:sz w:val="18"/>
                <w:szCs w:val="18"/>
              </w:rPr>
              <w:t>未通过/未审核主要原因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1</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4.1.1</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17</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0</w:t>
            </w:r>
          </w:p>
          <w:p>
            <w:pPr>
              <w:pStyle w:val="21"/>
              <w:ind w:right="210" w:rightChars="100"/>
              <w:jc w:val="both"/>
              <w:outlineLvl w:val="1"/>
              <w:rPr>
                <w:rFonts w:hint="eastAsia"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ind w:right="210" w:rightChars="100"/>
              <w:jc w:val="both"/>
              <w:outlineLvl w:val="1"/>
              <w:rPr>
                <w:rFonts w:hint="eastAsia"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2</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4.1.2</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6</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11</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numPr>
                <w:ilvl w:val="0"/>
                <w:numId w:val="14"/>
              </w:numPr>
              <w:ind w:left="0" w:right="210" w:rightChars="100" w:firstLine="0"/>
              <w:jc w:val="both"/>
              <w:outlineLvl w:val="1"/>
              <w:rPr>
                <w:rFonts w:hint="eastAsia" w:hAnsi="宋体"/>
                <w:color w:val="auto"/>
                <w:sz w:val="18"/>
                <w:szCs w:val="18"/>
              </w:rPr>
            </w:pPr>
            <w:r>
              <w:rPr>
                <w:rFonts w:hint="eastAsia" w:hAnsi="宋体"/>
                <w:color w:val="auto"/>
                <w:sz w:val="18"/>
                <w:szCs w:val="18"/>
              </w:rPr>
              <w:t>信息保存时间暂无明确规定。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3</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4.2.1</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11</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6</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numPr>
                <w:ilvl w:val="0"/>
                <w:numId w:val="14"/>
              </w:numPr>
              <w:ind w:left="0" w:right="210" w:rightChars="100" w:firstLine="0"/>
              <w:jc w:val="both"/>
              <w:outlineLvl w:val="1"/>
              <w:rPr>
                <w:rFonts w:hAnsi="宋体"/>
                <w:color w:val="auto"/>
                <w:sz w:val="18"/>
                <w:szCs w:val="18"/>
              </w:rPr>
            </w:pPr>
            <w:r>
              <w:rPr>
                <w:rFonts w:hint="eastAsia" w:hAnsi="宋体"/>
                <w:color w:val="auto"/>
                <w:sz w:val="18"/>
                <w:szCs w:val="18"/>
              </w:rPr>
              <w:t>过程不完善，未明确标注软硬件与准入或认证的相关性。</w:t>
            </w:r>
          </w:p>
          <w:p>
            <w:pPr>
              <w:pStyle w:val="21"/>
              <w:numPr>
                <w:ilvl w:val="0"/>
                <w:numId w:val="14"/>
              </w:numPr>
              <w:ind w:left="0" w:right="210" w:rightChars="100" w:firstLine="0"/>
              <w:jc w:val="both"/>
              <w:outlineLvl w:val="1"/>
              <w:rPr>
                <w:rFonts w:hint="eastAsia" w:hAnsi="宋体"/>
                <w:color w:val="auto"/>
                <w:sz w:val="18"/>
                <w:szCs w:val="18"/>
              </w:rPr>
            </w:pPr>
            <w:r>
              <w:rPr>
                <w:rFonts w:hint="eastAsia" w:hAnsi="宋体"/>
                <w:color w:val="auto"/>
                <w:sz w:val="18"/>
                <w:szCs w:val="18"/>
              </w:rPr>
              <w:t>相关管理文件、证明材料等不完善。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4</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4.2.2</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w:t>
            </w:r>
          </w:p>
          <w:p>
            <w:pPr>
              <w:pStyle w:val="21"/>
              <w:ind w:right="210" w:rightChars="100"/>
              <w:jc w:val="both"/>
              <w:outlineLvl w:val="1"/>
              <w:rPr>
                <w:rFonts w:hAnsi="宋体"/>
                <w:color w:val="auto"/>
                <w:sz w:val="18"/>
                <w:szCs w:val="18"/>
              </w:rPr>
            </w:pPr>
            <w:r>
              <w:rPr>
                <w:rFonts w:hint="eastAsia" w:hAnsi="宋体"/>
                <w:color w:val="auto"/>
                <w:sz w:val="18"/>
                <w:szCs w:val="18"/>
              </w:rPr>
              <w:t>未通过数量：0</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16</w:t>
            </w:r>
          </w:p>
        </w:tc>
        <w:tc>
          <w:tcPr>
            <w:tcW w:w="2687" w:type="pct"/>
          </w:tcPr>
          <w:p>
            <w:pPr>
              <w:pStyle w:val="21"/>
              <w:numPr>
                <w:ilvl w:val="0"/>
                <w:numId w:val="15"/>
              </w:numPr>
              <w:ind w:left="0" w:right="210" w:rightChars="100" w:firstLine="0"/>
              <w:outlineLvl w:val="1"/>
              <w:rPr>
                <w:rFonts w:hint="eastAsia" w:hAnsi="宋体"/>
                <w:color w:val="auto"/>
                <w:sz w:val="18"/>
                <w:szCs w:val="18"/>
              </w:rPr>
            </w:pPr>
            <w:r>
              <w:rPr>
                <w:rFonts w:hint="eastAsia" w:hAnsi="宋体"/>
                <w:color w:val="auto"/>
                <w:sz w:val="18"/>
                <w:szCs w:val="18"/>
              </w:rPr>
              <w:t>暂不具备软件识别码，所以该要求不适用。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5</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4.2.</w:t>
            </w:r>
            <w:r>
              <w:rPr>
                <w:rFonts w:hAnsi="宋体"/>
                <w:color w:val="auto"/>
                <w:sz w:val="18"/>
                <w:szCs w:val="18"/>
              </w:rPr>
              <w:t>3</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11</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6</w:t>
            </w:r>
          </w:p>
          <w:p>
            <w:pPr>
              <w:pStyle w:val="21"/>
              <w:ind w:right="210" w:rightChars="100"/>
              <w:jc w:val="both"/>
              <w:outlineLvl w:val="1"/>
              <w:rPr>
                <w:rFonts w:hAnsi="宋体"/>
                <w:color w:val="auto"/>
                <w:sz w:val="18"/>
                <w:szCs w:val="18"/>
              </w:rPr>
            </w:pPr>
            <w:r>
              <w:rPr>
                <w:rFonts w:hint="eastAsia" w:hAnsi="宋体"/>
                <w:color w:val="auto"/>
                <w:sz w:val="18"/>
                <w:szCs w:val="18"/>
              </w:rPr>
              <w:t>未审核数量：0</w:t>
            </w:r>
          </w:p>
        </w:tc>
        <w:tc>
          <w:tcPr>
            <w:tcW w:w="2687" w:type="pct"/>
          </w:tcPr>
          <w:p>
            <w:pPr>
              <w:pStyle w:val="21"/>
              <w:numPr>
                <w:ilvl w:val="0"/>
                <w:numId w:val="15"/>
              </w:numPr>
              <w:ind w:left="0" w:right="210" w:rightChars="100" w:firstLine="0"/>
              <w:jc w:val="both"/>
              <w:outlineLvl w:val="1"/>
              <w:rPr>
                <w:rFonts w:hAnsi="宋体"/>
                <w:color w:val="auto"/>
                <w:sz w:val="18"/>
                <w:szCs w:val="18"/>
              </w:rPr>
            </w:pPr>
            <w:r>
              <w:rPr>
                <w:rFonts w:hint="eastAsia" w:hAnsi="宋体"/>
                <w:color w:val="auto"/>
                <w:sz w:val="18"/>
                <w:szCs w:val="18"/>
              </w:rPr>
              <w:t>过程不完善，未建立识别系统相关性的过程。</w:t>
            </w:r>
          </w:p>
          <w:p>
            <w:pPr>
              <w:pStyle w:val="21"/>
              <w:numPr>
                <w:ilvl w:val="0"/>
                <w:numId w:val="15"/>
              </w:numPr>
              <w:ind w:left="0" w:right="210" w:rightChars="100" w:firstLine="0"/>
              <w:jc w:val="both"/>
              <w:outlineLvl w:val="1"/>
              <w:rPr>
                <w:rFonts w:hint="eastAsia" w:hAnsi="宋体"/>
                <w:color w:val="auto"/>
                <w:sz w:val="18"/>
                <w:szCs w:val="18"/>
              </w:rPr>
            </w:pPr>
            <w:r>
              <w:rPr>
                <w:rFonts w:hint="eastAsia" w:hAnsi="宋体"/>
                <w:color w:val="auto"/>
                <w:sz w:val="18"/>
                <w:szCs w:val="18"/>
              </w:rPr>
              <w:t>相关管理文件、证明材料等不完善。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6</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4.2.</w:t>
            </w:r>
            <w:r>
              <w:rPr>
                <w:rFonts w:hAnsi="宋体"/>
                <w:color w:val="auto"/>
                <w:sz w:val="18"/>
                <w:szCs w:val="18"/>
              </w:rPr>
              <w:t>4</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17</w:t>
            </w:r>
          </w:p>
          <w:p>
            <w:pPr>
              <w:pStyle w:val="21"/>
              <w:ind w:right="210" w:rightChars="100"/>
              <w:jc w:val="both"/>
              <w:outlineLvl w:val="1"/>
              <w:rPr>
                <w:rFonts w:hAnsi="宋体"/>
                <w:color w:val="auto"/>
                <w:sz w:val="18"/>
                <w:szCs w:val="18"/>
              </w:rPr>
            </w:pPr>
            <w:r>
              <w:rPr>
                <w:rFonts w:hint="eastAsia" w:hAnsi="宋体"/>
                <w:color w:val="auto"/>
                <w:sz w:val="18"/>
                <w:szCs w:val="18"/>
              </w:rPr>
              <w:t>未通过数量：0</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ind w:right="210" w:rightChars="100"/>
              <w:jc w:val="both"/>
              <w:outlineLvl w:val="1"/>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7</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4.2.</w:t>
            </w:r>
            <w:r>
              <w:rPr>
                <w:rFonts w:hAnsi="宋体"/>
                <w:color w:val="auto"/>
                <w:sz w:val="18"/>
                <w:szCs w:val="18"/>
              </w:rPr>
              <w:t>5</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16</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1</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numPr>
                <w:ilvl w:val="0"/>
                <w:numId w:val="15"/>
              </w:numPr>
              <w:ind w:left="0" w:right="210" w:rightChars="100" w:firstLine="0"/>
              <w:jc w:val="both"/>
              <w:outlineLvl w:val="1"/>
              <w:rPr>
                <w:rFonts w:hAnsi="宋体"/>
                <w:color w:val="auto"/>
                <w:sz w:val="18"/>
                <w:szCs w:val="18"/>
              </w:rPr>
            </w:pPr>
            <w:r>
              <w:rPr>
                <w:rFonts w:hint="eastAsia" w:hAnsi="宋体"/>
                <w:color w:val="auto"/>
                <w:sz w:val="18"/>
                <w:szCs w:val="18"/>
              </w:rPr>
              <w:t>过程不完善，升级前未确认车辆最新软硬件配置；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8</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4.2.</w:t>
            </w:r>
            <w:r>
              <w:rPr>
                <w:rFonts w:hAnsi="宋体"/>
                <w:color w:val="auto"/>
                <w:sz w:val="18"/>
                <w:szCs w:val="18"/>
              </w:rPr>
              <w:t>6</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6</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11</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numPr>
                <w:ilvl w:val="0"/>
                <w:numId w:val="15"/>
              </w:numPr>
              <w:ind w:left="0" w:right="210" w:rightChars="100" w:firstLine="0"/>
              <w:outlineLvl w:val="1"/>
              <w:rPr>
                <w:rFonts w:hAnsi="宋体"/>
                <w:color w:val="auto"/>
                <w:sz w:val="18"/>
                <w:szCs w:val="18"/>
              </w:rPr>
            </w:pPr>
            <w:r>
              <w:rPr>
                <w:rFonts w:hint="eastAsia" w:hAnsi="宋体"/>
                <w:color w:val="auto"/>
                <w:sz w:val="18"/>
                <w:szCs w:val="18"/>
              </w:rPr>
              <w:t>未建立相应过程，未分析软件升级对准入或认证相关参数的影响。</w:t>
            </w:r>
          </w:p>
          <w:p>
            <w:pPr>
              <w:pStyle w:val="21"/>
              <w:numPr>
                <w:ilvl w:val="0"/>
                <w:numId w:val="15"/>
              </w:numPr>
              <w:ind w:left="0" w:right="210" w:rightChars="100" w:firstLine="0"/>
              <w:outlineLvl w:val="1"/>
              <w:rPr>
                <w:rFonts w:hint="eastAsia" w:hAnsi="宋体"/>
                <w:color w:val="auto"/>
                <w:sz w:val="18"/>
                <w:szCs w:val="18"/>
              </w:rPr>
            </w:pPr>
            <w:r>
              <w:rPr>
                <w:rFonts w:hint="eastAsia" w:hAnsi="宋体"/>
                <w:color w:val="auto"/>
                <w:sz w:val="18"/>
                <w:szCs w:val="18"/>
              </w:rPr>
              <w:t>建立了相关过程，但未提供相关记录。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9</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4.2.</w:t>
            </w:r>
            <w:r>
              <w:rPr>
                <w:rFonts w:hAnsi="宋体"/>
                <w:color w:val="auto"/>
                <w:sz w:val="18"/>
                <w:szCs w:val="18"/>
              </w:rPr>
              <w:t>7</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8</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9</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numPr>
                <w:ilvl w:val="0"/>
                <w:numId w:val="15"/>
              </w:numPr>
              <w:ind w:left="0" w:right="210" w:rightChars="100" w:firstLine="0"/>
              <w:outlineLvl w:val="1"/>
              <w:rPr>
                <w:rFonts w:hAnsi="宋体"/>
                <w:color w:val="auto"/>
                <w:sz w:val="18"/>
                <w:szCs w:val="18"/>
              </w:rPr>
            </w:pPr>
            <w:r>
              <w:rPr>
                <w:rFonts w:hint="eastAsia" w:hAnsi="宋体"/>
                <w:color w:val="auto"/>
                <w:sz w:val="18"/>
                <w:szCs w:val="18"/>
              </w:rPr>
              <w:t>过程不完善，未分析软件升级对准入或认证相关功能的影响。</w:t>
            </w:r>
          </w:p>
          <w:p>
            <w:pPr>
              <w:pStyle w:val="21"/>
              <w:numPr>
                <w:ilvl w:val="0"/>
                <w:numId w:val="16"/>
              </w:numPr>
              <w:ind w:left="0" w:right="210" w:rightChars="100" w:firstLine="0"/>
              <w:outlineLvl w:val="1"/>
              <w:rPr>
                <w:rFonts w:hint="eastAsia" w:hAnsi="宋体"/>
                <w:color w:val="auto"/>
                <w:sz w:val="18"/>
                <w:szCs w:val="18"/>
              </w:rPr>
            </w:pPr>
            <w:r>
              <w:rPr>
                <w:rFonts w:hint="eastAsia" w:hAnsi="宋体"/>
                <w:color w:val="auto"/>
                <w:sz w:val="18"/>
                <w:szCs w:val="18"/>
              </w:rPr>
              <w:t>建立了相关流程，但未提供相关记录。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0</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4.2.</w:t>
            </w:r>
            <w:r>
              <w:rPr>
                <w:rFonts w:hAnsi="宋体"/>
                <w:color w:val="auto"/>
                <w:sz w:val="18"/>
                <w:szCs w:val="18"/>
              </w:rPr>
              <w:t>8</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10</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7</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numPr>
                <w:ilvl w:val="0"/>
                <w:numId w:val="16"/>
              </w:numPr>
              <w:ind w:left="0" w:right="210" w:rightChars="100" w:firstLine="0"/>
              <w:jc w:val="both"/>
              <w:outlineLvl w:val="1"/>
              <w:rPr>
                <w:rFonts w:hAnsi="宋体"/>
                <w:color w:val="auto"/>
                <w:sz w:val="18"/>
                <w:szCs w:val="18"/>
              </w:rPr>
            </w:pPr>
            <w:r>
              <w:rPr>
                <w:rFonts w:hint="eastAsia" w:hAnsi="宋体"/>
                <w:color w:val="auto"/>
                <w:sz w:val="18"/>
                <w:szCs w:val="18"/>
              </w:rPr>
              <w:t>过程不完善，对于软件升级对于其他系统的影响分析不充分。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1</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4.2.</w:t>
            </w:r>
            <w:r>
              <w:rPr>
                <w:rFonts w:hAnsi="宋体"/>
                <w:color w:val="auto"/>
                <w:sz w:val="18"/>
                <w:szCs w:val="18"/>
              </w:rPr>
              <w:t>9</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17</w:t>
            </w:r>
          </w:p>
          <w:p>
            <w:pPr>
              <w:pStyle w:val="21"/>
              <w:ind w:right="210" w:rightChars="100"/>
              <w:jc w:val="both"/>
              <w:outlineLvl w:val="1"/>
              <w:rPr>
                <w:rFonts w:hAnsi="宋体"/>
                <w:color w:val="auto"/>
                <w:sz w:val="18"/>
                <w:szCs w:val="18"/>
              </w:rPr>
            </w:pPr>
            <w:r>
              <w:rPr>
                <w:rFonts w:hint="eastAsia" w:hAnsi="宋体"/>
                <w:color w:val="auto"/>
                <w:sz w:val="18"/>
                <w:szCs w:val="18"/>
              </w:rPr>
              <w:t>未通过数量：0</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ind w:right="210" w:rightChars="100"/>
              <w:jc w:val="both"/>
              <w:outlineLvl w:val="1"/>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2</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4.3.1</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12</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4</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numPr>
                <w:ilvl w:val="0"/>
                <w:numId w:val="16"/>
              </w:numPr>
              <w:ind w:left="0" w:right="210" w:rightChars="100" w:firstLine="0"/>
              <w:jc w:val="both"/>
              <w:outlineLvl w:val="1"/>
              <w:rPr>
                <w:rFonts w:hAnsi="宋体"/>
                <w:color w:val="auto"/>
                <w:sz w:val="18"/>
                <w:szCs w:val="18"/>
              </w:rPr>
            </w:pPr>
            <w:r>
              <w:rPr>
                <w:rFonts w:hint="eastAsia" w:hAnsi="宋体"/>
                <w:color w:val="auto"/>
                <w:sz w:val="18"/>
                <w:szCs w:val="18"/>
              </w:rPr>
              <w:t>相关企业管理文件等不完善。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3</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4.3.2</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4</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13</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numPr>
                <w:ilvl w:val="0"/>
                <w:numId w:val="16"/>
              </w:numPr>
              <w:ind w:left="0" w:right="210" w:rightChars="100" w:firstLine="0"/>
              <w:outlineLvl w:val="1"/>
              <w:rPr>
                <w:rFonts w:hint="eastAsia" w:hAnsi="宋体"/>
                <w:color w:val="auto"/>
                <w:sz w:val="18"/>
                <w:szCs w:val="18"/>
              </w:rPr>
            </w:pPr>
            <w:r>
              <w:rPr>
                <w:rFonts w:hint="eastAsia" w:hAnsi="宋体"/>
                <w:color w:val="auto"/>
                <w:sz w:val="18"/>
                <w:szCs w:val="18"/>
              </w:rPr>
              <w:t>文件记录内容不充分，记录了系统配置信息，但没有对与准入与认证相关系统配置形成单独的文件。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4</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4.3.3</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w:t>
            </w:r>
          </w:p>
          <w:p>
            <w:pPr>
              <w:pStyle w:val="21"/>
              <w:ind w:right="210" w:rightChars="100"/>
              <w:jc w:val="both"/>
              <w:outlineLvl w:val="1"/>
              <w:rPr>
                <w:rFonts w:hAnsi="宋体"/>
                <w:color w:val="auto"/>
                <w:sz w:val="18"/>
                <w:szCs w:val="18"/>
              </w:rPr>
            </w:pPr>
            <w:r>
              <w:rPr>
                <w:rFonts w:hint="eastAsia" w:hAnsi="宋体"/>
                <w:color w:val="auto"/>
                <w:sz w:val="18"/>
                <w:szCs w:val="18"/>
              </w:rPr>
              <w:t>未通过数量：0</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16</w:t>
            </w:r>
          </w:p>
        </w:tc>
        <w:tc>
          <w:tcPr>
            <w:tcW w:w="2687" w:type="pct"/>
          </w:tcPr>
          <w:p>
            <w:pPr>
              <w:pStyle w:val="21"/>
              <w:numPr>
                <w:ilvl w:val="0"/>
                <w:numId w:val="16"/>
              </w:numPr>
              <w:ind w:left="0" w:right="210" w:rightChars="100" w:firstLine="0"/>
              <w:jc w:val="both"/>
              <w:outlineLvl w:val="1"/>
              <w:rPr>
                <w:rFonts w:hAnsi="宋体"/>
                <w:color w:val="auto"/>
                <w:sz w:val="18"/>
                <w:szCs w:val="18"/>
              </w:rPr>
            </w:pPr>
            <w:r>
              <w:rPr>
                <w:rFonts w:hint="eastAsia" w:hAnsi="宋体"/>
                <w:color w:val="auto"/>
                <w:sz w:val="18"/>
                <w:szCs w:val="18"/>
              </w:rPr>
              <w:t>暂无软件识别码，该条款不适用。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5</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4.3.4</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16</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1</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numPr>
                <w:ilvl w:val="0"/>
                <w:numId w:val="16"/>
              </w:numPr>
              <w:ind w:left="0" w:right="210" w:rightChars="100" w:firstLine="0"/>
              <w:jc w:val="both"/>
              <w:outlineLvl w:val="1"/>
              <w:rPr>
                <w:rFonts w:hAnsi="宋体"/>
                <w:color w:val="auto"/>
                <w:sz w:val="18"/>
                <w:szCs w:val="18"/>
              </w:rPr>
            </w:pPr>
            <w:r>
              <w:rPr>
                <w:rFonts w:hint="eastAsia" w:hAnsi="宋体"/>
                <w:color w:val="auto"/>
                <w:sz w:val="18"/>
                <w:szCs w:val="18"/>
              </w:rPr>
              <w:t>未形成记录文件。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6</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4.3.5</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3</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14</w:t>
            </w:r>
          </w:p>
          <w:p>
            <w:pPr>
              <w:pStyle w:val="21"/>
              <w:ind w:right="210" w:rightChars="100"/>
              <w:jc w:val="both"/>
              <w:outlineLvl w:val="1"/>
              <w:rPr>
                <w:rFonts w:hAnsi="宋体"/>
                <w:color w:val="auto"/>
                <w:sz w:val="18"/>
                <w:szCs w:val="18"/>
              </w:rPr>
            </w:pPr>
            <w:r>
              <w:rPr>
                <w:rFonts w:hint="eastAsia" w:hAnsi="宋体"/>
                <w:color w:val="auto"/>
                <w:sz w:val="18"/>
                <w:szCs w:val="18"/>
              </w:rPr>
              <w:t>未审核数量：0</w:t>
            </w:r>
          </w:p>
        </w:tc>
        <w:tc>
          <w:tcPr>
            <w:tcW w:w="2687" w:type="pct"/>
          </w:tcPr>
          <w:p>
            <w:pPr>
              <w:pStyle w:val="21"/>
              <w:numPr>
                <w:ilvl w:val="0"/>
                <w:numId w:val="16"/>
              </w:numPr>
              <w:ind w:left="0" w:right="210" w:rightChars="100" w:firstLine="0"/>
              <w:jc w:val="both"/>
              <w:outlineLvl w:val="1"/>
              <w:rPr>
                <w:rFonts w:hint="eastAsia" w:hAnsi="宋体"/>
                <w:color w:val="auto"/>
                <w:sz w:val="18"/>
                <w:szCs w:val="18"/>
              </w:rPr>
            </w:pPr>
            <w:r>
              <w:rPr>
                <w:rFonts w:hAnsi="宋体"/>
                <w:color w:val="auto"/>
                <w:sz w:val="18"/>
                <w:szCs w:val="18"/>
              </w:rPr>
              <w:t xml:space="preserve">b) </w:t>
            </w:r>
            <w:r>
              <w:rPr>
                <w:rFonts w:hint="eastAsia" w:hAnsi="宋体"/>
                <w:color w:val="auto"/>
                <w:sz w:val="18"/>
                <w:szCs w:val="18"/>
              </w:rPr>
              <w:t>c) d) e)等项目相关记录缺失。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7</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4.4.1</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17</w:t>
            </w:r>
          </w:p>
          <w:p>
            <w:pPr>
              <w:pStyle w:val="21"/>
              <w:ind w:right="210" w:rightChars="100"/>
              <w:jc w:val="both"/>
              <w:outlineLvl w:val="1"/>
              <w:rPr>
                <w:rFonts w:hAnsi="宋体"/>
                <w:color w:val="auto"/>
                <w:sz w:val="18"/>
                <w:szCs w:val="18"/>
              </w:rPr>
            </w:pPr>
            <w:r>
              <w:rPr>
                <w:rFonts w:hint="eastAsia" w:hAnsi="宋体"/>
                <w:color w:val="auto"/>
                <w:sz w:val="18"/>
                <w:szCs w:val="18"/>
              </w:rPr>
              <w:t>未通过数量：0</w:t>
            </w:r>
          </w:p>
          <w:p>
            <w:pPr>
              <w:pStyle w:val="21"/>
              <w:ind w:right="210" w:rightChars="100"/>
              <w:jc w:val="both"/>
              <w:outlineLvl w:val="1"/>
              <w:rPr>
                <w:rFonts w:hAnsi="宋体"/>
                <w:color w:val="auto"/>
                <w:sz w:val="18"/>
                <w:szCs w:val="18"/>
              </w:rPr>
            </w:pPr>
            <w:r>
              <w:rPr>
                <w:rFonts w:hint="eastAsia" w:hAnsi="宋体"/>
                <w:color w:val="auto"/>
                <w:sz w:val="18"/>
                <w:szCs w:val="18"/>
              </w:rPr>
              <w:t>未审核数量：</w:t>
            </w:r>
            <w:r>
              <w:rPr>
                <w:rFonts w:hAnsi="宋体"/>
                <w:color w:val="auto"/>
                <w:sz w:val="18"/>
                <w:szCs w:val="18"/>
              </w:rPr>
              <w:t>0</w:t>
            </w:r>
          </w:p>
        </w:tc>
        <w:tc>
          <w:tcPr>
            <w:tcW w:w="2687" w:type="pct"/>
          </w:tcPr>
          <w:p>
            <w:pPr>
              <w:pStyle w:val="21"/>
              <w:ind w:right="210" w:rightChars="100"/>
              <w:jc w:val="both"/>
              <w:outlineLvl w:val="1"/>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8</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4.4.2</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16</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1</w:t>
            </w:r>
          </w:p>
          <w:p>
            <w:pPr>
              <w:pStyle w:val="21"/>
              <w:ind w:right="210" w:rightChars="100"/>
              <w:jc w:val="both"/>
              <w:outlineLvl w:val="1"/>
              <w:rPr>
                <w:rFonts w:hAnsi="宋体"/>
                <w:color w:val="auto"/>
                <w:sz w:val="18"/>
                <w:szCs w:val="18"/>
              </w:rPr>
            </w:pPr>
            <w:r>
              <w:rPr>
                <w:rFonts w:hint="eastAsia" w:hAnsi="宋体"/>
                <w:color w:val="auto"/>
                <w:sz w:val="18"/>
                <w:szCs w:val="18"/>
              </w:rPr>
              <w:t>未审核数量：0</w:t>
            </w:r>
          </w:p>
        </w:tc>
        <w:tc>
          <w:tcPr>
            <w:tcW w:w="2687" w:type="pct"/>
          </w:tcPr>
          <w:p>
            <w:pPr>
              <w:pStyle w:val="21"/>
              <w:numPr>
                <w:ilvl w:val="0"/>
                <w:numId w:val="16"/>
              </w:numPr>
              <w:ind w:left="0" w:right="210" w:rightChars="100" w:firstLine="0"/>
              <w:jc w:val="both"/>
              <w:outlineLvl w:val="1"/>
              <w:rPr>
                <w:rFonts w:hAnsi="宋体"/>
                <w:color w:val="auto"/>
                <w:sz w:val="18"/>
                <w:szCs w:val="18"/>
              </w:rPr>
            </w:pPr>
            <w:r>
              <w:rPr>
                <w:rFonts w:hint="eastAsia" w:hAnsi="宋体"/>
                <w:color w:val="auto"/>
                <w:sz w:val="18"/>
                <w:szCs w:val="18"/>
              </w:rPr>
              <w:t>相关管理文件、证明材料等不完善。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9</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4.4.3</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通过数量：1</w:t>
            </w:r>
            <w:r>
              <w:rPr>
                <w:rFonts w:hAnsi="宋体"/>
                <w:color w:val="auto"/>
                <w:sz w:val="18"/>
                <w:szCs w:val="18"/>
              </w:rPr>
              <w:t>6</w:t>
            </w:r>
          </w:p>
          <w:p>
            <w:pPr>
              <w:pStyle w:val="21"/>
              <w:ind w:right="210" w:rightChars="100"/>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1</w:t>
            </w:r>
          </w:p>
          <w:p>
            <w:pPr>
              <w:pStyle w:val="21"/>
              <w:ind w:right="210" w:rightChars="100"/>
              <w:jc w:val="both"/>
              <w:outlineLvl w:val="1"/>
              <w:rPr>
                <w:rFonts w:hAnsi="宋体"/>
                <w:color w:val="auto"/>
                <w:sz w:val="18"/>
                <w:szCs w:val="18"/>
              </w:rPr>
            </w:pPr>
            <w:r>
              <w:rPr>
                <w:rFonts w:hint="eastAsia" w:hAnsi="宋体"/>
                <w:color w:val="auto"/>
                <w:sz w:val="18"/>
                <w:szCs w:val="18"/>
              </w:rPr>
              <w:t>未审核数量：0</w:t>
            </w:r>
          </w:p>
        </w:tc>
        <w:tc>
          <w:tcPr>
            <w:tcW w:w="2687" w:type="pct"/>
          </w:tcPr>
          <w:p>
            <w:pPr>
              <w:pStyle w:val="21"/>
              <w:numPr>
                <w:ilvl w:val="0"/>
                <w:numId w:val="16"/>
              </w:numPr>
              <w:ind w:left="0" w:right="210" w:rightChars="100" w:firstLine="0"/>
              <w:jc w:val="both"/>
              <w:outlineLvl w:val="1"/>
              <w:rPr>
                <w:rFonts w:hAnsi="宋体"/>
                <w:color w:val="auto"/>
                <w:sz w:val="18"/>
                <w:szCs w:val="18"/>
              </w:rPr>
            </w:pPr>
            <w:r>
              <w:rPr>
                <w:rFonts w:hint="eastAsia" w:hAnsi="宋体"/>
                <w:color w:val="auto"/>
                <w:sz w:val="18"/>
                <w:szCs w:val="18"/>
              </w:rPr>
              <w:t>相关管理文件、证明材料等不完善。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2</w:t>
            </w:r>
            <w:r>
              <w:rPr>
                <w:rFonts w:hAnsi="宋体"/>
                <w:color w:val="auto"/>
                <w:sz w:val="18"/>
                <w:szCs w:val="18"/>
              </w:rPr>
              <w:t>0</w:t>
            </w:r>
          </w:p>
        </w:tc>
        <w:tc>
          <w:tcPr>
            <w:tcW w:w="657"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4.5.1</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17</w:t>
            </w:r>
          </w:p>
          <w:p>
            <w:pPr>
              <w:pStyle w:val="21"/>
              <w:ind w:right="210" w:rightChars="100"/>
              <w:jc w:val="both"/>
              <w:outlineLvl w:val="1"/>
              <w:rPr>
                <w:rFonts w:hAnsi="宋体"/>
                <w:color w:val="auto"/>
                <w:sz w:val="18"/>
                <w:szCs w:val="18"/>
              </w:rPr>
            </w:pPr>
            <w:r>
              <w:rPr>
                <w:rFonts w:hint="eastAsia" w:hAnsi="宋体"/>
                <w:color w:val="auto"/>
                <w:sz w:val="18"/>
                <w:szCs w:val="18"/>
              </w:rPr>
              <w:t>未通过数量：0</w:t>
            </w:r>
          </w:p>
          <w:p>
            <w:pPr>
              <w:pStyle w:val="21"/>
              <w:ind w:right="210" w:rightChars="100"/>
              <w:jc w:val="both"/>
              <w:outlineLvl w:val="1"/>
              <w:rPr>
                <w:rFonts w:hAnsi="宋体"/>
                <w:color w:val="auto"/>
                <w:sz w:val="18"/>
                <w:szCs w:val="18"/>
              </w:rPr>
            </w:pPr>
            <w:r>
              <w:rPr>
                <w:rFonts w:hint="eastAsia" w:hAnsi="宋体"/>
                <w:color w:val="auto"/>
                <w:sz w:val="18"/>
                <w:szCs w:val="18"/>
              </w:rPr>
              <w:t>未审核数量：0</w:t>
            </w:r>
          </w:p>
        </w:tc>
        <w:tc>
          <w:tcPr>
            <w:tcW w:w="2687" w:type="pct"/>
          </w:tcPr>
          <w:p>
            <w:pPr>
              <w:pStyle w:val="21"/>
              <w:ind w:right="210" w:rightChars="100"/>
              <w:jc w:val="both"/>
              <w:outlineLvl w:val="1"/>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pStyle w:val="21"/>
              <w:ind w:right="210" w:rightChars="100"/>
              <w:jc w:val="both"/>
              <w:outlineLvl w:val="1"/>
              <w:rPr>
                <w:rFonts w:hint="eastAsia" w:hAnsi="宋体"/>
                <w:color w:val="auto"/>
                <w:sz w:val="18"/>
                <w:szCs w:val="18"/>
              </w:rPr>
            </w:pPr>
            <w:r>
              <w:rPr>
                <w:rFonts w:hint="eastAsia" w:hAnsi="宋体"/>
                <w:color w:val="auto"/>
                <w:sz w:val="18"/>
                <w:szCs w:val="18"/>
              </w:rPr>
              <w:t>2</w:t>
            </w:r>
            <w:r>
              <w:rPr>
                <w:rFonts w:hAnsi="宋体"/>
                <w:color w:val="auto"/>
                <w:sz w:val="18"/>
                <w:szCs w:val="18"/>
              </w:rPr>
              <w:t>1</w:t>
            </w:r>
          </w:p>
        </w:tc>
        <w:tc>
          <w:tcPr>
            <w:tcW w:w="657" w:type="pct"/>
          </w:tcPr>
          <w:p>
            <w:pPr>
              <w:pStyle w:val="21"/>
              <w:ind w:right="210" w:rightChars="100"/>
              <w:jc w:val="both"/>
              <w:outlineLvl w:val="1"/>
              <w:rPr>
                <w:rFonts w:hAnsi="宋体"/>
                <w:color w:val="auto"/>
                <w:sz w:val="18"/>
                <w:szCs w:val="18"/>
              </w:rPr>
            </w:pPr>
            <w:r>
              <w:rPr>
                <w:rFonts w:hint="eastAsia" w:hAnsi="宋体"/>
                <w:color w:val="auto"/>
                <w:sz w:val="18"/>
                <w:szCs w:val="18"/>
              </w:rPr>
              <w:t>4.5.2</w:t>
            </w:r>
          </w:p>
        </w:tc>
        <w:tc>
          <w:tcPr>
            <w:tcW w:w="1290" w:type="pct"/>
          </w:tcPr>
          <w:p>
            <w:pPr>
              <w:pStyle w:val="21"/>
              <w:ind w:right="210" w:rightChars="100"/>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17</w:t>
            </w:r>
          </w:p>
          <w:p>
            <w:pPr>
              <w:pStyle w:val="21"/>
              <w:ind w:right="210" w:rightChars="100"/>
              <w:jc w:val="both"/>
              <w:outlineLvl w:val="1"/>
              <w:rPr>
                <w:rFonts w:hAnsi="宋体"/>
                <w:color w:val="auto"/>
                <w:sz w:val="18"/>
                <w:szCs w:val="18"/>
              </w:rPr>
            </w:pPr>
            <w:r>
              <w:rPr>
                <w:rFonts w:hint="eastAsia" w:hAnsi="宋体"/>
                <w:color w:val="auto"/>
                <w:sz w:val="18"/>
                <w:szCs w:val="18"/>
              </w:rPr>
              <w:t>未通过数量：0</w:t>
            </w:r>
          </w:p>
          <w:p>
            <w:pPr>
              <w:pStyle w:val="21"/>
              <w:ind w:right="210" w:rightChars="100"/>
              <w:jc w:val="both"/>
              <w:outlineLvl w:val="1"/>
              <w:rPr>
                <w:rFonts w:hAnsi="宋体"/>
                <w:color w:val="auto"/>
                <w:sz w:val="18"/>
                <w:szCs w:val="18"/>
              </w:rPr>
            </w:pPr>
            <w:r>
              <w:rPr>
                <w:rFonts w:hint="eastAsia" w:hAnsi="宋体"/>
                <w:color w:val="auto"/>
                <w:sz w:val="18"/>
                <w:szCs w:val="18"/>
              </w:rPr>
              <w:t>未审核数量：0</w:t>
            </w:r>
          </w:p>
        </w:tc>
        <w:tc>
          <w:tcPr>
            <w:tcW w:w="2687" w:type="pct"/>
          </w:tcPr>
          <w:p>
            <w:pPr>
              <w:pStyle w:val="21"/>
              <w:ind w:right="210" w:rightChars="100"/>
              <w:jc w:val="both"/>
              <w:outlineLvl w:val="1"/>
              <w:rPr>
                <w:rFonts w:hAnsi="宋体"/>
                <w:color w:val="auto"/>
                <w:sz w:val="18"/>
                <w:szCs w:val="18"/>
              </w:rPr>
            </w:pPr>
          </w:p>
        </w:tc>
      </w:tr>
    </w:tbl>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Ansi="宋体"/>
          <w:color w:val="auto"/>
          <w:sz w:val="21"/>
          <w:szCs w:val="21"/>
        </w:rPr>
      </w:pPr>
      <w:r>
        <w:rPr>
          <w:rFonts w:hint="eastAsia" w:hAnsi="宋体"/>
          <w:color w:val="auto"/>
          <w:sz w:val="21"/>
          <w:szCs w:val="21"/>
        </w:rPr>
        <w:t>总结：大部分企业均具备软件开发和软件升级管理的过程，但大多企业的过程比较分散，需要以软件升级为中心进行过程优化整合。另外，准入和认证相关参数或子系统相关过程要求需要企业根据自身的系统和产品进行分析完善，经过整改后可以支撑并通过本系统的评审。</w:t>
      </w:r>
    </w:p>
    <w:p>
      <w:pPr>
        <w:pStyle w:val="24"/>
        <w:numPr>
          <w:ilvl w:val="0"/>
          <w:numId w:val="13"/>
        </w:numPr>
        <w:ind w:firstLineChars="0"/>
        <w:rPr>
          <w:rFonts w:ascii="黑体" w:hAnsi="黑体" w:eastAsia="黑体"/>
          <w:bCs/>
          <w:szCs w:val="21"/>
        </w:rPr>
      </w:pPr>
      <w:r>
        <w:rPr>
          <w:rFonts w:hint="eastAsia" w:ascii="黑体" w:hAnsi="黑体" w:eastAsia="黑体"/>
          <w:bCs/>
          <w:szCs w:val="21"/>
        </w:rPr>
        <w:t>车辆试验结果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02"/>
        <w:gridCol w:w="1602"/>
        <w:gridCol w:w="4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 w:type="pct"/>
            <w:shd w:val="clear" w:color="auto" w:fill="D0CECE"/>
          </w:tcPr>
          <w:p>
            <w:pPr>
              <w:pStyle w:val="21"/>
              <w:jc w:val="center"/>
              <w:outlineLvl w:val="1"/>
              <w:rPr>
                <w:rFonts w:hint="eastAsia" w:hAnsi="宋体"/>
                <w:color w:val="auto"/>
                <w:sz w:val="18"/>
                <w:szCs w:val="18"/>
              </w:rPr>
            </w:pPr>
            <w:r>
              <w:rPr>
                <w:rFonts w:hint="eastAsia" w:hAnsi="宋体"/>
                <w:color w:val="auto"/>
                <w:sz w:val="18"/>
                <w:szCs w:val="18"/>
              </w:rPr>
              <w:t>序号</w:t>
            </w:r>
          </w:p>
        </w:tc>
        <w:tc>
          <w:tcPr>
            <w:tcW w:w="940" w:type="pct"/>
            <w:shd w:val="clear" w:color="auto" w:fill="D0CECE"/>
          </w:tcPr>
          <w:p>
            <w:pPr>
              <w:pStyle w:val="21"/>
              <w:jc w:val="center"/>
              <w:outlineLvl w:val="1"/>
              <w:rPr>
                <w:rFonts w:hAnsi="宋体"/>
                <w:color w:val="auto"/>
                <w:sz w:val="18"/>
                <w:szCs w:val="18"/>
              </w:rPr>
            </w:pPr>
            <w:r>
              <w:rPr>
                <w:rFonts w:hint="eastAsia" w:hAnsi="宋体"/>
                <w:color w:val="auto"/>
                <w:sz w:val="18"/>
                <w:szCs w:val="18"/>
              </w:rPr>
              <w:t>标准条款</w:t>
            </w:r>
          </w:p>
        </w:tc>
        <w:tc>
          <w:tcPr>
            <w:tcW w:w="940" w:type="pct"/>
            <w:shd w:val="clear" w:color="auto" w:fill="D0CECE"/>
          </w:tcPr>
          <w:p>
            <w:pPr>
              <w:pStyle w:val="21"/>
              <w:jc w:val="center"/>
              <w:outlineLvl w:val="1"/>
              <w:rPr>
                <w:rFonts w:hAnsi="宋体"/>
                <w:color w:val="auto"/>
                <w:sz w:val="18"/>
                <w:szCs w:val="18"/>
              </w:rPr>
            </w:pPr>
            <w:r>
              <w:rPr>
                <w:rFonts w:hint="eastAsia" w:hAnsi="宋体"/>
                <w:color w:val="auto"/>
                <w:sz w:val="18"/>
                <w:szCs w:val="18"/>
              </w:rPr>
              <w:t>通过率</w:t>
            </w:r>
          </w:p>
        </w:tc>
        <w:tc>
          <w:tcPr>
            <w:tcW w:w="2696" w:type="pct"/>
            <w:shd w:val="clear" w:color="auto" w:fill="D0CECE"/>
          </w:tcPr>
          <w:p>
            <w:pPr>
              <w:pStyle w:val="21"/>
              <w:jc w:val="center"/>
              <w:outlineLvl w:val="1"/>
              <w:rPr>
                <w:rFonts w:hAnsi="宋体"/>
                <w:color w:val="auto"/>
                <w:sz w:val="18"/>
                <w:szCs w:val="18"/>
              </w:rPr>
            </w:pPr>
            <w:r>
              <w:rPr>
                <w:rFonts w:hint="eastAsia" w:hAnsi="宋体"/>
                <w:color w:val="auto"/>
                <w:sz w:val="18"/>
                <w:szCs w:val="18"/>
              </w:rPr>
              <w:t>未通过/未试验主要原因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1</w:t>
            </w:r>
          </w:p>
        </w:tc>
        <w:tc>
          <w:tcPr>
            <w:tcW w:w="940" w:type="pct"/>
          </w:tcPr>
          <w:p>
            <w:pPr>
              <w:pStyle w:val="21"/>
              <w:jc w:val="both"/>
              <w:outlineLvl w:val="1"/>
              <w:rPr>
                <w:rFonts w:hAnsi="宋体"/>
                <w:color w:val="auto"/>
                <w:sz w:val="18"/>
                <w:szCs w:val="18"/>
              </w:rPr>
            </w:pPr>
            <w:r>
              <w:rPr>
                <w:rFonts w:hAnsi="宋体"/>
                <w:color w:val="auto"/>
                <w:sz w:val="18"/>
                <w:szCs w:val="18"/>
              </w:rPr>
              <w:t>6.2</w:t>
            </w:r>
          </w:p>
          <w:p>
            <w:pPr>
              <w:pStyle w:val="21"/>
              <w:jc w:val="both"/>
              <w:outlineLvl w:val="1"/>
              <w:rPr>
                <w:rFonts w:hAnsi="宋体"/>
                <w:color w:val="auto"/>
                <w:sz w:val="18"/>
                <w:szCs w:val="18"/>
              </w:rPr>
            </w:pPr>
            <w:r>
              <w:rPr>
                <w:rFonts w:hint="eastAsia" w:hAnsi="宋体"/>
                <w:color w:val="auto"/>
                <w:sz w:val="18"/>
                <w:szCs w:val="18"/>
              </w:rPr>
              <w:t>（5</w:t>
            </w:r>
            <w:r>
              <w:rPr>
                <w:rFonts w:hAnsi="宋体"/>
                <w:color w:val="auto"/>
                <w:sz w:val="18"/>
                <w:szCs w:val="18"/>
              </w:rPr>
              <w:t>.1.1</w:t>
            </w:r>
            <w:r>
              <w:rPr>
                <w:rFonts w:hint="eastAsia" w:hAnsi="宋体"/>
                <w:color w:val="auto"/>
                <w:sz w:val="18"/>
                <w:szCs w:val="18"/>
              </w:rPr>
              <w:t>）</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5</w:t>
            </w:r>
          </w:p>
          <w:p>
            <w:pPr>
              <w:pStyle w:val="21"/>
              <w:jc w:val="both"/>
              <w:outlineLvl w:val="1"/>
              <w:rPr>
                <w:rFonts w:hAnsi="宋体"/>
                <w:color w:val="auto"/>
                <w:sz w:val="18"/>
                <w:szCs w:val="18"/>
              </w:rPr>
            </w:pPr>
            <w:r>
              <w:rPr>
                <w:rFonts w:hint="eastAsia" w:hAnsi="宋体"/>
                <w:color w:val="auto"/>
                <w:sz w:val="18"/>
                <w:szCs w:val="18"/>
              </w:rPr>
              <w:t>未通过数量：2</w:t>
            </w:r>
          </w:p>
          <w:p>
            <w:pPr>
              <w:pStyle w:val="21"/>
              <w:jc w:val="both"/>
              <w:outlineLvl w:val="1"/>
              <w:rPr>
                <w:rFonts w:hAnsi="宋体"/>
                <w:color w:val="auto"/>
                <w:sz w:val="18"/>
                <w:szCs w:val="18"/>
              </w:rPr>
            </w:pPr>
            <w:r>
              <w:rPr>
                <w:rFonts w:hint="eastAsia" w:hAnsi="宋体"/>
                <w:color w:val="auto"/>
                <w:sz w:val="18"/>
                <w:szCs w:val="18"/>
              </w:rPr>
              <w:t>未试验数量：</w:t>
            </w:r>
            <w:r>
              <w:rPr>
                <w:rFonts w:hAnsi="宋体"/>
                <w:color w:val="auto"/>
                <w:sz w:val="18"/>
                <w:szCs w:val="18"/>
              </w:rPr>
              <w:t>7</w:t>
            </w:r>
          </w:p>
        </w:tc>
        <w:tc>
          <w:tcPr>
            <w:tcW w:w="2696" w:type="pct"/>
          </w:tcPr>
          <w:p>
            <w:pPr>
              <w:pStyle w:val="21"/>
              <w:numPr>
                <w:ilvl w:val="0"/>
                <w:numId w:val="16"/>
              </w:numPr>
              <w:ind w:left="0" w:firstLine="0"/>
              <w:jc w:val="both"/>
              <w:outlineLvl w:val="1"/>
              <w:rPr>
                <w:rFonts w:hAnsi="宋体"/>
                <w:color w:val="auto"/>
                <w:sz w:val="18"/>
                <w:szCs w:val="18"/>
              </w:rPr>
            </w:pPr>
            <w:r>
              <w:rPr>
                <w:rFonts w:hint="eastAsia" w:hAnsi="宋体"/>
                <w:color w:val="auto"/>
                <w:sz w:val="18"/>
                <w:szCs w:val="18"/>
              </w:rPr>
              <w:t>未开发真实性校验能力。</w:t>
            </w:r>
          </w:p>
          <w:p>
            <w:pPr>
              <w:pStyle w:val="21"/>
              <w:numPr>
                <w:ilvl w:val="0"/>
                <w:numId w:val="16"/>
              </w:numPr>
              <w:ind w:left="0" w:firstLine="0"/>
              <w:jc w:val="both"/>
              <w:outlineLvl w:val="1"/>
              <w:rPr>
                <w:rFonts w:hint="eastAsia" w:hAnsi="宋体"/>
                <w:color w:val="auto"/>
                <w:sz w:val="18"/>
                <w:szCs w:val="18"/>
              </w:rPr>
            </w:pPr>
            <w:r>
              <w:rPr>
                <w:rFonts w:hint="eastAsia" w:hAnsi="宋体"/>
                <w:color w:val="auto"/>
                <w:sz w:val="18"/>
                <w:szCs w:val="18"/>
              </w:rPr>
              <w:t>企业未提供试验条件，未完成相应测试。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2</w:t>
            </w:r>
          </w:p>
        </w:tc>
        <w:tc>
          <w:tcPr>
            <w:tcW w:w="940" w:type="pct"/>
          </w:tcPr>
          <w:p>
            <w:pPr>
              <w:pStyle w:val="21"/>
              <w:jc w:val="both"/>
              <w:outlineLvl w:val="1"/>
              <w:rPr>
                <w:rFonts w:hAnsi="宋体"/>
                <w:color w:val="auto"/>
                <w:sz w:val="18"/>
                <w:szCs w:val="18"/>
              </w:rPr>
            </w:pPr>
            <w:r>
              <w:rPr>
                <w:rFonts w:hAnsi="宋体"/>
                <w:color w:val="auto"/>
                <w:sz w:val="18"/>
                <w:szCs w:val="18"/>
              </w:rPr>
              <w:t>6.3</w:t>
            </w:r>
          </w:p>
          <w:p>
            <w:pPr>
              <w:pStyle w:val="21"/>
              <w:jc w:val="both"/>
              <w:outlineLvl w:val="1"/>
              <w:rPr>
                <w:rFonts w:hint="eastAsia" w:hAnsi="宋体"/>
                <w:color w:val="auto"/>
                <w:sz w:val="18"/>
                <w:szCs w:val="18"/>
              </w:rPr>
            </w:pPr>
            <w:r>
              <w:rPr>
                <w:rFonts w:hint="eastAsia" w:hAnsi="宋体"/>
                <w:color w:val="auto"/>
                <w:sz w:val="18"/>
                <w:szCs w:val="18"/>
              </w:rPr>
              <w:t>（5</w:t>
            </w:r>
            <w:r>
              <w:rPr>
                <w:rFonts w:hAnsi="宋体"/>
                <w:color w:val="auto"/>
                <w:sz w:val="18"/>
                <w:szCs w:val="18"/>
              </w:rPr>
              <w:t>.1.2+</w:t>
            </w:r>
            <w:r>
              <w:rPr>
                <w:rFonts w:hint="eastAsia" w:hAnsi="宋体"/>
                <w:color w:val="auto"/>
                <w:sz w:val="18"/>
                <w:szCs w:val="18"/>
              </w:rPr>
              <w:t>5</w:t>
            </w:r>
            <w:r>
              <w:rPr>
                <w:rFonts w:hAnsi="宋体"/>
                <w:color w:val="auto"/>
                <w:sz w:val="18"/>
                <w:szCs w:val="18"/>
              </w:rPr>
              <w:t>.1.3</w:t>
            </w:r>
            <w:r>
              <w:rPr>
                <w:rFonts w:hint="eastAsia" w:hAnsi="宋体"/>
                <w:color w:val="auto"/>
                <w:sz w:val="18"/>
                <w:szCs w:val="18"/>
              </w:rPr>
              <w:t>）</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12</w:t>
            </w:r>
          </w:p>
          <w:p>
            <w:pPr>
              <w:pStyle w:val="21"/>
              <w:jc w:val="both"/>
              <w:outlineLvl w:val="1"/>
              <w:rPr>
                <w:rFonts w:hAnsi="宋体"/>
                <w:color w:val="auto"/>
                <w:sz w:val="18"/>
                <w:szCs w:val="18"/>
              </w:rPr>
            </w:pPr>
            <w:r>
              <w:rPr>
                <w:rFonts w:hint="eastAsia" w:hAnsi="宋体"/>
                <w:color w:val="auto"/>
                <w:sz w:val="18"/>
                <w:szCs w:val="18"/>
              </w:rPr>
              <w:t>未通过数量：2</w:t>
            </w:r>
          </w:p>
          <w:p>
            <w:pPr>
              <w:pStyle w:val="21"/>
              <w:jc w:val="both"/>
              <w:outlineLvl w:val="1"/>
              <w:rPr>
                <w:rFonts w:hAnsi="宋体"/>
                <w:color w:val="auto"/>
                <w:sz w:val="18"/>
                <w:szCs w:val="18"/>
              </w:rPr>
            </w:pPr>
            <w:r>
              <w:rPr>
                <w:rFonts w:hint="eastAsia" w:hAnsi="宋体"/>
                <w:color w:val="auto"/>
                <w:sz w:val="18"/>
                <w:szCs w:val="18"/>
              </w:rPr>
              <w:t>未试验数量：0</w:t>
            </w:r>
          </w:p>
        </w:tc>
        <w:tc>
          <w:tcPr>
            <w:tcW w:w="2696" w:type="pct"/>
          </w:tcPr>
          <w:p>
            <w:pPr>
              <w:pStyle w:val="21"/>
              <w:numPr>
                <w:ilvl w:val="0"/>
                <w:numId w:val="17"/>
              </w:numPr>
              <w:ind w:left="0" w:firstLine="0"/>
              <w:jc w:val="both"/>
              <w:outlineLvl w:val="1"/>
              <w:rPr>
                <w:rFonts w:hAnsi="宋体"/>
                <w:color w:val="auto"/>
                <w:sz w:val="18"/>
                <w:szCs w:val="18"/>
              </w:rPr>
            </w:pPr>
            <w:r>
              <w:rPr>
                <w:rFonts w:hint="eastAsia" w:hAnsi="宋体"/>
                <w:color w:val="auto"/>
                <w:sz w:val="18"/>
                <w:szCs w:val="18"/>
              </w:rPr>
              <w:t>仅能通过IVI读取，不能通过标准化接口读取。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3</w:t>
            </w:r>
          </w:p>
        </w:tc>
        <w:tc>
          <w:tcPr>
            <w:tcW w:w="940" w:type="pct"/>
          </w:tcPr>
          <w:p>
            <w:pPr>
              <w:pStyle w:val="21"/>
              <w:jc w:val="both"/>
              <w:outlineLvl w:val="1"/>
              <w:rPr>
                <w:rFonts w:hAnsi="宋体"/>
                <w:color w:val="auto"/>
                <w:sz w:val="18"/>
                <w:szCs w:val="18"/>
              </w:rPr>
            </w:pPr>
            <w:r>
              <w:rPr>
                <w:rFonts w:hAnsi="宋体"/>
                <w:color w:val="auto"/>
                <w:sz w:val="18"/>
                <w:szCs w:val="18"/>
              </w:rPr>
              <w:t>6.4</w:t>
            </w:r>
          </w:p>
          <w:p>
            <w:pPr>
              <w:pStyle w:val="21"/>
              <w:jc w:val="both"/>
              <w:outlineLvl w:val="1"/>
              <w:rPr>
                <w:rFonts w:hint="eastAsia" w:hAnsi="宋体"/>
                <w:color w:val="auto"/>
                <w:sz w:val="18"/>
                <w:szCs w:val="18"/>
              </w:rPr>
            </w:pPr>
            <w:r>
              <w:rPr>
                <w:rFonts w:hint="eastAsia" w:hAnsi="宋体"/>
                <w:color w:val="auto"/>
                <w:sz w:val="18"/>
                <w:szCs w:val="18"/>
              </w:rPr>
              <w:t>（5</w:t>
            </w:r>
            <w:r>
              <w:rPr>
                <w:rFonts w:hAnsi="宋体"/>
                <w:color w:val="auto"/>
                <w:sz w:val="18"/>
                <w:szCs w:val="18"/>
              </w:rPr>
              <w:t>.1.4</w:t>
            </w:r>
            <w:r>
              <w:rPr>
                <w:rFonts w:hint="eastAsia" w:hAnsi="宋体"/>
                <w:color w:val="auto"/>
                <w:sz w:val="18"/>
                <w:szCs w:val="18"/>
              </w:rPr>
              <w:t>）</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3</w:t>
            </w:r>
          </w:p>
          <w:p>
            <w:pPr>
              <w:pStyle w:val="21"/>
              <w:jc w:val="both"/>
              <w:outlineLvl w:val="1"/>
              <w:rPr>
                <w:rFonts w:hAnsi="宋体"/>
                <w:color w:val="auto"/>
                <w:sz w:val="18"/>
                <w:szCs w:val="18"/>
              </w:rPr>
            </w:pPr>
            <w:r>
              <w:rPr>
                <w:rFonts w:hint="eastAsia" w:hAnsi="宋体"/>
                <w:color w:val="auto"/>
                <w:sz w:val="18"/>
                <w:szCs w:val="18"/>
              </w:rPr>
              <w:t>未通过数量：0</w:t>
            </w:r>
          </w:p>
          <w:p>
            <w:pPr>
              <w:pStyle w:val="21"/>
              <w:jc w:val="both"/>
              <w:outlineLvl w:val="1"/>
              <w:rPr>
                <w:rFonts w:hAnsi="宋体"/>
                <w:color w:val="auto"/>
                <w:sz w:val="18"/>
                <w:szCs w:val="18"/>
              </w:rPr>
            </w:pPr>
            <w:r>
              <w:rPr>
                <w:rFonts w:hint="eastAsia" w:hAnsi="宋体"/>
                <w:color w:val="auto"/>
                <w:sz w:val="18"/>
                <w:szCs w:val="18"/>
              </w:rPr>
              <w:t>未试验数量：</w:t>
            </w:r>
            <w:r>
              <w:rPr>
                <w:rFonts w:hAnsi="宋体"/>
                <w:color w:val="auto"/>
                <w:sz w:val="18"/>
                <w:szCs w:val="18"/>
              </w:rPr>
              <w:t>11</w:t>
            </w:r>
          </w:p>
        </w:tc>
        <w:tc>
          <w:tcPr>
            <w:tcW w:w="2696" w:type="pct"/>
          </w:tcPr>
          <w:p>
            <w:pPr>
              <w:pStyle w:val="21"/>
              <w:numPr>
                <w:ilvl w:val="0"/>
                <w:numId w:val="17"/>
              </w:numPr>
              <w:ind w:left="0" w:firstLine="0"/>
              <w:jc w:val="both"/>
              <w:outlineLvl w:val="1"/>
              <w:rPr>
                <w:rFonts w:hAnsi="宋体"/>
                <w:color w:val="auto"/>
                <w:sz w:val="18"/>
                <w:szCs w:val="18"/>
              </w:rPr>
            </w:pPr>
            <w:r>
              <w:rPr>
                <w:rFonts w:hint="eastAsia" w:hAnsi="宋体"/>
                <w:color w:val="auto"/>
                <w:sz w:val="18"/>
                <w:szCs w:val="18"/>
              </w:rPr>
              <w:t>企业未提供防篡改保护措施，不具备试验条件。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4</w:t>
            </w:r>
          </w:p>
        </w:tc>
        <w:tc>
          <w:tcPr>
            <w:tcW w:w="940" w:type="pct"/>
          </w:tcPr>
          <w:p>
            <w:pPr>
              <w:pStyle w:val="21"/>
              <w:jc w:val="both"/>
              <w:outlineLvl w:val="1"/>
              <w:rPr>
                <w:rFonts w:hAnsi="宋体"/>
                <w:color w:val="auto"/>
                <w:sz w:val="18"/>
                <w:szCs w:val="18"/>
              </w:rPr>
            </w:pPr>
            <w:r>
              <w:rPr>
                <w:rFonts w:hAnsi="宋体"/>
                <w:color w:val="auto"/>
                <w:sz w:val="18"/>
                <w:szCs w:val="18"/>
              </w:rPr>
              <w:t>6.5</w:t>
            </w:r>
          </w:p>
          <w:p>
            <w:pPr>
              <w:pStyle w:val="21"/>
              <w:jc w:val="both"/>
              <w:outlineLvl w:val="1"/>
              <w:rPr>
                <w:rFonts w:hAnsi="宋体"/>
                <w:color w:val="auto"/>
                <w:sz w:val="18"/>
                <w:szCs w:val="18"/>
              </w:rPr>
            </w:pPr>
            <w:r>
              <w:rPr>
                <w:rFonts w:hint="eastAsia" w:hAnsi="宋体"/>
                <w:color w:val="auto"/>
                <w:sz w:val="18"/>
                <w:szCs w:val="18"/>
              </w:rPr>
              <w:t>（5</w:t>
            </w:r>
            <w:r>
              <w:rPr>
                <w:rFonts w:hAnsi="宋体"/>
                <w:color w:val="auto"/>
                <w:sz w:val="18"/>
                <w:szCs w:val="18"/>
              </w:rPr>
              <w:t>.2.1</w:t>
            </w:r>
            <w:r>
              <w:rPr>
                <w:rFonts w:hint="eastAsia" w:hAnsi="宋体"/>
                <w:color w:val="auto"/>
                <w:sz w:val="18"/>
                <w:szCs w:val="18"/>
              </w:rPr>
              <w:t>）</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11</w:t>
            </w:r>
          </w:p>
          <w:p>
            <w:pPr>
              <w:pStyle w:val="21"/>
              <w:jc w:val="both"/>
              <w:outlineLvl w:val="1"/>
              <w:rPr>
                <w:rFonts w:hAnsi="宋体"/>
                <w:color w:val="auto"/>
                <w:sz w:val="18"/>
                <w:szCs w:val="18"/>
              </w:rPr>
            </w:pPr>
            <w:r>
              <w:rPr>
                <w:rFonts w:hint="eastAsia" w:hAnsi="宋体"/>
                <w:color w:val="auto"/>
                <w:sz w:val="18"/>
                <w:szCs w:val="18"/>
              </w:rPr>
              <w:t>未通过数量：3</w:t>
            </w:r>
          </w:p>
          <w:p>
            <w:pPr>
              <w:pStyle w:val="21"/>
              <w:jc w:val="both"/>
              <w:outlineLvl w:val="1"/>
              <w:rPr>
                <w:rFonts w:hAnsi="宋体"/>
                <w:color w:val="auto"/>
                <w:sz w:val="18"/>
                <w:szCs w:val="18"/>
              </w:rPr>
            </w:pPr>
            <w:r>
              <w:rPr>
                <w:rFonts w:hint="eastAsia" w:hAnsi="宋体"/>
                <w:color w:val="auto"/>
                <w:sz w:val="18"/>
                <w:szCs w:val="18"/>
              </w:rPr>
              <w:t>未试验数量：0</w:t>
            </w:r>
          </w:p>
        </w:tc>
        <w:tc>
          <w:tcPr>
            <w:tcW w:w="2696" w:type="pct"/>
          </w:tcPr>
          <w:p>
            <w:pPr>
              <w:pStyle w:val="21"/>
              <w:numPr>
                <w:ilvl w:val="0"/>
                <w:numId w:val="17"/>
              </w:numPr>
              <w:ind w:left="0" w:firstLine="0"/>
              <w:jc w:val="both"/>
              <w:outlineLvl w:val="1"/>
              <w:rPr>
                <w:rFonts w:hint="eastAsia" w:hAnsi="宋体"/>
                <w:color w:val="auto"/>
                <w:sz w:val="18"/>
                <w:szCs w:val="18"/>
              </w:rPr>
            </w:pPr>
            <w:r>
              <w:rPr>
                <w:rFonts w:hint="eastAsia" w:hAnsi="宋体"/>
                <w:color w:val="auto"/>
                <w:sz w:val="18"/>
                <w:szCs w:val="18"/>
              </w:rPr>
              <w:t>提示信息不符合要求，如未提示升级目的、升级的功能、升级过程中不可用的功能。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5</w:t>
            </w:r>
          </w:p>
        </w:tc>
        <w:tc>
          <w:tcPr>
            <w:tcW w:w="940" w:type="pct"/>
          </w:tcPr>
          <w:p>
            <w:pPr>
              <w:pStyle w:val="21"/>
              <w:jc w:val="both"/>
              <w:outlineLvl w:val="1"/>
              <w:rPr>
                <w:rFonts w:hAnsi="宋体"/>
                <w:color w:val="auto"/>
                <w:sz w:val="18"/>
                <w:szCs w:val="18"/>
              </w:rPr>
            </w:pPr>
            <w:r>
              <w:rPr>
                <w:rFonts w:hAnsi="宋体"/>
                <w:color w:val="auto"/>
                <w:sz w:val="18"/>
                <w:szCs w:val="18"/>
              </w:rPr>
              <w:t>6.6</w:t>
            </w:r>
          </w:p>
          <w:p>
            <w:pPr>
              <w:pStyle w:val="21"/>
              <w:jc w:val="both"/>
              <w:outlineLvl w:val="1"/>
              <w:rPr>
                <w:rFonts w:hAnsi="宋体"/>
                <w:color w:val="auto"/>
                <w:sz w:val="18"/>
                <w:szCs w:val="18"/>
              </w:rPr>
            </w:pPr>
            <w:r>
              <w:rPr>
                <w:rFonts w:hint="eastAsia" w:hAnsi="宋体"/>
                <w:color w:val="auto"/>
                <w:sz w:val="18"/>
                <w:szCs w:val="18"/>
              </w:rPr>
              <w:t>（5.2.2）</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13</w:t>
            </w:r>
          </w:p>
          <w:p>
            <w:pPr>
              <w:pStyle w:val="21"/>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1</w:t>
            </w:r>
          </w:p>
          <w:p>
            <w:pPr>
              <w:pStyle w:val="21"/>
              <w:jc w:val="both"/>
              <w:outlineLvl w:val="1"/>
              <w:rPr>
                <w:rFonts w:hAnsi="宋体"/>
                <w:color w:val="auto"/>
                <w:sz w:val="18"/>
                <w:szCs w:val="18"/>
              </w:rPr>
            </w:pPr>
            <w:r>
              <w:rPr>
                <w:rFonts w:hint="eastAsia" w:hAnsi="宋体"/>
                <w:color w:val="auto"/>
                <w:sz w:val="18"/>
                <w:szCs w:val="18"/>
              </w:rPr>
              <w:t>未试验数量：0</w:t>
            </w:r>
          </w:p>
        </w:tc>
        <w:tc>
          <w:tcPr>
            <w:tcW w:w="2696" w:type="pct"/>
          </w:tcPr>
          <w:p>
            <w:pPr>
              <w:pStyle w:val="21"/>
              <w:numPr>
                <w:ilvl w:val="0"/>
                <w:numId w:val="17"/>
              </w:numPr>
              <w:ind w:left="0" w:firstLine="0"/>
              <w:jc w:val="both"/>
              <w:outlineLvl w:val="1"/>
              <w:rPr>
                <w:rFonts w:hAnsi="宋体"/>
                <w:color w:val="auto"/>
                <w:sz w:val="18"/>
                <w:szCs w:val="18"/>
              </w:rPr>
            </w:pPr>
            <w:r>
              <w:rPr>
                <w:rFonts w:hint="eastAsia" w:hAnsi="宋体"/>
                <w:color w:val="auto"/>
                <w:sz w:val="18"/>
                <w:szCs w:val="18"/>
              </w:rPr>
              <w:t>提供给用户的升级确认选项中只包含立即安装按钮，不具备可供用户选择的其他操作选项。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6</w:t>
            </w:r>
          </w:p>
        </w:tc>
        <w:tc>
          <w:tcPr>
            <w:tcW w:w="940" w:type="pct"/>
          </w:tcPr>
          <w:p>
            <w:pPr>
              <w:pStyle w:val="21"/>
              <w:jc w:val="both"/>
              <w:outlineLvl w:val="1"/>
              <w:rPr>
                <w:rFonts w:hAnsi="宋体"/>
                <w:color w:val="auto"/>
                <w:sz w:val="18"/>
                <w:szCs w:val="18"/>
              </w:rPr>
            </w:pPr>
            <w:r>
              <w:rPr>
                <w:rFonts w:hAnsi="宋体"/>
                <w:color w:val="auto"/>
                <w:sz w:val="18"/>
                <w:szCs w:val="18"/>
              </w:rPr>
              <w:t>6.7</w:t>
            </w:r>
          </w:p>
          <w:p>
            <w:pPr>
              <w:pStyle w:val="21"/>
              <w:jc w:val="both"/>
              <w:outlineLvl w:val="1"/>
              <w:rPr>
                <w:rFonts w:hAnsi="宋体"/>
                <w:color w:val="auto"/>
                <w:sz w:val="18"/>
                <w:szCs w:val="18"/>
              </w:rPr>
            </w:pPr>
            <w:r>
              <w:rPr>
                <w:rFonts w:hint="eastAsia" w:hAnsi="宋体"/>
                <w:color w:val="auto"/>
                <w:sz w:val="18"/>
                <w:szCs w:val="18"/>
              </w:rPr>
              <w:t>（5.2.3）</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14</w:t>
            </w:r>
          </w:p>
          <w:p>
            <w:pPr>
              <w:pStyle w:val="21"/>
              <w:jc w:val="both"/>
              <w:outlineLvl w:val="1"/>
              <w:rPr>
                <w:rFonts w:hAnsi="宋体"/>
                <w:color w:val="auto"/>
                <w:sz w:val="18"/>
                <w:szCs w:val="18"/>
              </w:rPr>
            </w:pPr>
            <w:r>
              <w:rPr>
                <w:rFonts w:hint="eastAsia" w:hAnsi="宋体"/>
                <w:color w:val="auto"/>
                <w:sz w:val="18"/>
                <w:szCs w:val="18"/>
              </w:rPr>
              <w:t>未通过数量：0</w:t>
            </w:r>
          </w:p>
          <w:p>
            <w:pPr>
              <w:pStyle w:val="21"/>
              <w:jc w:val="both"/>
              <w:outlineLvl w:val="1"/>
              <w:rPr>
                <w:rFonts w:hAnsi="宋体"/>
                <w:color w:val="auto"/>
                <w:sz w:val="18"/>
                <w:szCs w:val="18"/>
              </w:rPr>
            </w:pPr>
            <w:r>
              <w:rPr>
                <w:rFonts w:hint="eastAsia" w:hAnsi="宋体"/>
                <w:color w:val="auto"/>
                <w:sz w:val="18"/>
                <w:szCs w:val="18"/>
              </w:rPr>
              <w:t>未试验数量：0</w:t>
            </w:r>
          </w:p>
        </w:tc>
        <w:tc>
          <w:tcPr>
            <w:tcW w:w="2696" w:type="pct"/>
          </w:tcPr>
          <w:p>
            <w:pPr>
              <w:pStyle w:val="21"/>
              <w:jc w:val="both"/>
              <w:outlineLvl w:val="1"/>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7</w:t>
            </w:r>
          </w:p>
        </w:tc>
        <w:tc>
          <w:tcPr>
            <w:tcW w:w="940" w:type="pct"/>
          </w:tcPr>
          <w:p>
            <w:pPr>
              <w:pStyle w:val="21"/>
              <w:jc w:val="both"/>
              <w:outlineLvl w:val="1"/>
              <w:rPr>
                <w:rFonts w:hAnsi="宋体"/>
                <w:color w:val="auto"/>
                <w:sz w:val="18"/>
                <w:szCs w:val="18"/>
              </w:rPr>
            </w:pPr>
            <w:r>
              <w:rPr>
                <w:rFonts w:hAnsi="宋体"/>
                <w:color w:val="auto"/>
                <w:sz w:val="18"/>
                <w:szCs w:val="18"/>
              </w:rPr>
              <w:t>6.8</w:t>
            </w:r>
          </w:p>
          <w:p>
            <w:pPr>
              <w:pStyle w:val="21"/>
              <w:jc w:val="both"/>
              <w:outlineLvl w:val="1"/>
              <w:rPr>
                <w:rFonts w:hAnsi="宋体"/>
                <w:color w:val="auto"/>
                <w:sz w:val="18"/>
                <w:szCs w:val="18"/>
              </w:rPr>
            </w:pPr>
            <w:r>
              <w:rPr>
                <w:rFonts w:hint="eastAsia" w:hAnsi="宋体"/>
                <w:color w:val="auto"/>
                <w:sz w:val="18"/>
                <w:szCs w:val="18"/>
              </w:rPr>
              <w:t>（5.2.4）</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13</w:t>
            </w:r>
          </w:p>
          <w:p>
            <w:pPr>
              <w:pStyle w:val="21"/>
              <w:jc w:val="both"/>
              <w:outlineLvl w:val="1"/>
              <w:rPr>
                <w:rFonts w:hAnsi="宋体"/>
                <w:color w:val="auto"/>
                <w:sz w:val="18"/>
                <w:szCs w:val="18"/>
              </w:rPr>
            </w:pPr>
            <w:r>
              <w:rPr>
                <w:rFonts w:hint="eastAsia" w:hAnsi="宋体"/>
                <w:color w:val="auto"/>
                <w:sz w:val="18"/>
                <w:szCs w:val="18"/>
              </w:rPr>
              <w:t>未通过数量：</w:t>
            </w:r>
            <w:r>
              <w:rPr>
                <w:rFonts w:hAnsi="宋体"/>
                <w:color w:val="auto"/>
                <w:sz w:val="18"/>
                <w:szCs w:val="18"/>
              </w:rPr>
              <w:t>1</w:t>
            </w:r>
          </w:p>
          <w:p>
            <w:pPr>
              <w:pStyle w:val="21"/>
              <w:jc w:val="both"/>
              <w:outlineLvl w:val="1"/>
              <w:rPr>
                <w:rFonts w:hAnsi="宋体"/>
                <w:color w:val="auto"/>
                <w:sz w:val="18"/>
                <w:szCs w:val="18"/>
              </w:rPr>
            </w:pPr>
            <w:r>
              <w:rPr>
                <w:rFonts w:hint="eastAsia" w:hAnsi="宋体"/>
                <w:color w:val="auto"/>
                <w:sz w:val="18"/>
                <w:szCs w:val="18"/>
              </w:rPr>
              <w:t>未试验数量：0</w:t>
            </w:r>
          </w:p>
        </w:tc>
        <w:tc>
          <w:tcPr>
            <w:tcW w:w="2696" w:type="pct"/>
          </w:tcPr>
          <w:p>
            <w:pPr>
              <w:pStyle w:val="21"/>
              <w:numPr>
                <w:ilvl w:val="0"/>
                <w:numId w:val="17"/>
              </w:numPr>
              <w:ind w:left="0" w:firstLine="0"/>
              <w:jc w:val="both"/>
              <w:outlineLvl w:val="1"/>
              <w:rPr>
                <w:rFonts w:hint="eastAsia" w:hAnsi="宋体"/>
                <w:color w:val="auto"/>
                <w:sz w:val="18"/>
                <w:szCs w:val="18"/>
              </w:rPr>
            </w:pPr>
            <w:r>
              <w:rPr>
                <w:rFonts w:hint="eastAsia" w:hAnsi="宋体"/>
                <w:color w:val="auto"/>
                <w:sz w:val="18"/>
                <w:szCs w:val="18"/>
              </w:rPr>
              <w:t>企业无法清晰表述电量保障策略，不能实现不满足电量保障的条件。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8</w:t>
            </w:r>
          </w:p>
        </w:tc>
        <w:tc>
          <w:tcPr>
            <w:tcW w:w="940" w:type="pct"/>
          </w:tcPr>
          <w:p>
            <w:pPr>
              <w:pStyle w:val="21"/>
              <w:jc w:val="both"/>
              <w:outlineLvl w:val="1"/>
              <w:rPr>
                <w:rFonts w:hAnsi="宋体"/>
                <w:color w:val="auto"/>
                <w:sz w:val="18"/>
                <w:szCs w:val="18"/>
              </w:rPr>
            </w:pPr>
            <w:r>
              <w:rPr>
                <w:rFonts w:hAnsi="宋体"/>
                <w:color w:val="auto"/>
                <w:sz w:val="18"/>
                <w:szCs w:val="18"/>
              </w:rPr>
              <w:t>6.9</w:t>
            </w:r>
          </w:p>
          <w:p>
            <w:pPr>
              <w:pStyle w:val="21"/>
              <w:jc w:val="both"/>
              <w:outlineLvl w:val="1"/>
              <w:rPr>
                <w:rFonts w:hAnsi="宋体"/>
                <w:color w:val="auto"/>
                <w:sz w:val="18"/>
                <w:szCs w:val="18"/>
              </w:rPr>
            </w:pPr>
            <w:r>
              <w:rPr>
                <w:rFonts w:hint="eastAsia" w:hAnsi="宋体"/>
                <w:color w:val="auto"/>
                <w:sz w:val="18"/>
                <w:szCs w:val="18"/>
              </w:rPr>
              <w:t>（5.2.5）</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11</w:t>
            </w:r>
          </w:p>
          <w:p>
            <w:pPr>
              <w:pStyle w:val="21"/>
              <w:jc w:val="both"/>
              <w:outlineLvl w:val="1"/>
              <w:rPr>
                <w:rFonts w:hAnsi="宋体"/>
                <w:color w:val="auto"/>
                <w:sz w:val="18"/>
                <w:szCs w:val="18"/>
              </w:rPr>
            </w:pPr>
            <w:r>
              <w:rPr>
                <w:rFonts w:hint="eastAsia" w:hAnsi="宋体"/>
                <w:color w:val="auto"/>
                <w:sz w:val="18"/>
                <w:szCs w:val="18"/>
              </w:rPr>
              <w:t>未通过数量：0</w:t>
            </w:r>
          </w:p>
          <w:p>
            <w:pPr>
              <w:pStyle w:val="21"/>
              <w:jc w:val="both"/>
              <w:outlineLvl w:val="1"/>
              <w:rPr>
                <w:rFonts w:hAnsi="宋体"/>
                <w:color w:val="auto"/>
                <w:sz w:val="18"/>
                <w:szCs w:val="18"/>
              </w:rPr>
            </w:pPr>
            <w:r>
              <w:rPr>
                <w:rFonts w:hint="eastAsia" w:hAnsi="宋体"/>
                <w:color w:val="auto"/>
                <w:sz w:val="18"/>
                <w:szCs w:val="18"/>
              </w:rPr>
              <w:t>未试验数量：</w:t>
            </w:r>
            <w:r>
              <w:rPr>
                <w:rFonts w:hAnsi="宋体"/>
                <w:color w:val="auto"/>
                <w:sz w:val="18"/>
                <w:szCs w:val="18"/>
              </w:rPr>
              <w:t>3</w:t>
            </w:r>
          </w:p>
        </w:tc>
        <w:tc>
          <w:tcPr>
            <w:tcW w:w="2696" w:type="pct"/>
          </w:tcPr>
          <w:p>
            <w:pPr>
              <w:pStyle w:val="21"/>
              <w:numPr>
                <w:ilvl w:val="0"/>
                <w:numId w:val="17"/>
              </w:numPr>
              <w:ind w:left="0" w:firstLine="0"/>
              <w:jc w:val="both"/>
              <w:outlineLvl w:val="1"/>
              <w:rPr>
                <w:rFonts w:hAnsi="宋体"/>
                <w:color w:val="auto"/>
                <w:sz w:val="18"/>
                <w:szCs w:val="18"/>
              </w:rPr>
            </w:pPr>
            <w:r>
              <w:rPr>
                <w:rFonts w:hint="eastAsia" w:hAnsi="宋体"/>
                <w:color w:val="auto"/>
                <w:sz w:val="18"/>
                <w:szCs w:val="18"/>
              </w:rPr>
              <w:t>企业未提供影响车辆安全相关的升级任务。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9</w:t>
            </w:r>
          </w:p>
        </w:tc>
        <w:tc>
          <w:tcPr>
            <w:tcW w:w="940" w:type="pct"/>
          </w:tcPr>
          <w:p>
            <w:pPr>
              <w:pStyle w:val="21"/>
              <w:jc w:val="both"/>
              <w:outlineLvl w:val="1"/>
              <w:rPr>
                <w:rFonts w:hAnsi="宋体"/>
                <w:color w:val="auto"/>
                <w:sz w:val="18"/>
                <w:szCs w:val="18"/>
              </w:rPr>
            </w:pPr>
            <w:r>
              <w:rPr>
                <w:rFonts w:hAnsi="宋体"/>
                <w:color w:val="auto"/>
                <w:sz w:val="18"/>
                <w:szCs w:val="18"/>
              </w:rPr>
              <w:t>6.10</w:t>
            </w:r>
          </w:p>
          <w:p>
            <w:pPr>
              <w:pStyle w:val="21"/>
              <w:jc w:val="both"/>
              <w:outlineLvl w:val="1"/>
              <w:rPr>
                <w:rFonts w:hAnsi="宋体"/>
                <w:color w:val="auto"/>
                <w:sz w:val="18"/>
                <w:szCs w:val="18"/>
              </w:rPr>
            </w:pPr>
            <w:r>
              <w:rPr>
                <w:rFonts w:hint="eastAsia" w:hAnsi="宋体"/>
                <w:color w:val="auto"/>
                <w:sz w:val="18"/>
                <w:szCs w:val="18"/>
              </w:rPr>
              <w:t>（5.2.6）</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12</w:t>
            </w:r>
          </w:p>
          <w:p>
            <w:pPr>
              <w:pStyle w:val="21"/>
              <w:jc w:val="both"/>
              <w:outlineLvl w:val="1"/>
              <w:rPr>
                <w:rFonts w:hAnsi="宋体"/>
                <w:color w:val="auto"/>
                <w:sz w:val="18"/>
                <w:szCs w:val="18"/>
              </w:rPr>
            </w:pPr>
            <w:r>
              <w:rPr>
                <w:rFonts w:hint="eastAsia" w:hAnsi="宋体"/>
                <w:color w:val="auto"/>
                <w:sz w:val="18"/>
                <w:szCs w:val="18"/>
              </w:rPr>
              <w:t>未通过数量：1</w:t>
            </w:r>
          </w:p>
          <w:p>
            <w:pPr>
              <w:pStyle w:val="21"/>
              <w:jc w:val="both"/>
              <w:outlineLvl w:val="1"/>
              <w:rPr>
                <w:rFonts w:hAnsi="宋体"/>
                <w:color w:val="auto"/>
                <w:sz w:val="18"/>
                <w:szCs w:val="18"/>
              </w:rPr>
            </w:pPr>
            <w:r>
              <w:rPr>
                <w:rFonts w:hint="eastAsia" w:hAnsi="宋体"/>
                <w:color w:val="auto"/>
                <w:sz w:val="18"/>
                <w:szCs w:val="18"/>
              </w:rPr>
              <w:t>未试验数量：</w:t>
            </w:r>
            <w:r>
              <w:rPr>
                <w:rFonts w:hAnsi="宋体"/>
                <w:color w:val="auto"/>
                <w:sz w:val="18"/>
                <w:szCs w:val="18"/>
              </w:rPr>
              <w:t>1</w:t>
            </w:r>
          </w:p>
        </w:tc>
        <w:tc>
          <w:tcPr>
            <w:tcW w:w="2696" w:type="pct"/>
          </w:tcPr>
          <w:p>
            <w:pPr>
              <w:pStyle w:val="21"/>
              <w:numPr>
                <w:ilvl w:val="0"/>
                <w:numId w:val="17"/>
              </w:numPr>
              <w:ind w:left="0" w:firstLine="0"/>
              <w:jc w:val="both"/>
              <w:outlineLvl w:val="1"/>
              <w:rPr>
                <w:rFonts w:hAnsi="宋体"/>
                <w:color w:val="auto"/>
                <w:sz w:val="18"/>
                <w:szCs w:val="18"/>
              </w:rPr>
            </w:pPr>
            <w:r>
              <w:rPr>
                <w:rFonts w:hint="eastAsia" w:hAnsi="宋体"/>
                <w:color w:val="auto"/>
                <w:sz w:val="18"/>
                <w:szCs w:val="18"/>
              </w:rPr>
              <w:t>在多包升级过程中，会有电子功能恢复的时间段，该时间段期间可以驾驶。</w:t>
            </w:r>
          </w:p>
          <w:p>
            <w:pPr>
              <w:pStyle w:val="21"/>
              <w:numPr>
                <w:ilvl w:val="0"/>
                <w:numId w:val="17"/>
              </w:numPr>
              <w:ind w:left="0" w:firstLine="0"/>
              <w:jc w:val="both"/>
              <w:outlineLvl w:val="1"/>
              <w:rPr>
                <w:rFonts w:hint="eastAsia" w:hAnsi="宋体"/>
                <w:color w:val="auto"/>
                <w:sz w:val="18"/>
                <w:szCs w:val="18"/>
              </w:rPr>
            </w:pPr>
            <w:r>
              <w:rPr>
                <w:rFonts w:hint="eastAsia" w:hAnsi="宋体"/>
                <w:color w:val="auto"/>
                <w:sz w:val="18"/>
                <w:szCs w:val="18"/>
              </w:rPr>
              <w:t>未提供影响驾驶安全的软件升级项目。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0</w:t>
            </w:r>
          </w:p>
        </w:tc>
        <w:tc>
          <w:tcPr>
            <w:tcW w:w="940" w:type="pct"/>
          </w:tcPr>
          <w:p>
            <w:pPr>
              <w:pStyle w:val="21"/>
              <w:jc w:val="both"/>
              <w:outlineLvl w:val="1"/>
              <w:rPr>
                <w:rFonts w:hAnsi="宋体"/>
                <w:color w:val="auto"/>
                <w:sz w:val="18"/>
                <w:szCs w:val="18"/>
              </w:rPr>
            </w:pPr>
            <w:r>
              <w:rPr>
                <w:rFonts w:hAnsi="宋体"/>
                <w:color w:val="auto"/>
                <w:sz w:val="18"/>
                <w:szCs w:val="18"/>
              </w:rPr>
              <w:t>6.11</w:t>
            </w:r>
          </w:p>
          <w:p>
            <w:pPr>
              <w:pStyle w:val="21"/>
              <w:jc w:val="both"/>
              <w:outlineLvl w:val="1"/>
              <w:rPr>
                <w:rFonts w:hAnsi="宋体"/>
                <w:color w:val="auto"/>
                <w:sz w:val="18"/>
                <w:szCs w:val="18"/>
              </w:rPr>
            </w:pPr>
            <w:r>
              <w:rPr>
                <w:rFonts w:hint="eastAsia" w:hAnsi="宋体"/>
                <w:color w:val="auto"/>
                <w:sz w:val="18"/>
                <w:szCs w:val="18"/>
              </w:rPr>
              <w:t>（5.2.7）</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14</w:t>
            </w:r>
          </w:p>
          <w:p>
            <w:pPr>
              <w:pStyle w:val="21"/>
              <w:jc w:val="both"/>
              <w:outlineLvl w:val="1"/>
              <w:rPr>
                <w:rFonts w:hAnsi="宋体"/>
                <w:color w:val="auto"/>
                <w:sz w:val="18"/>
                <w:szCs w:val="18"/>
              </w:rPr>
            </w:pPr>
            <w:r>
              <w:rPr>
                <w:rFonts w:hint="eastAsia" w:hAnsi="宋体"/>
                <w:color w:val="auto"/>
                <w:sz w:val="18"/>
                <w:szCs w:val="18"/>
              </w:rPr>
              <w:t>未通过数量：0</w:t>
            </w:r>
          </w:p>
          <w:p>
            <w:pPr>
              <w:pStyle w:val="21"/>
              <w:jc w:val="both"/>
              <w:outlineLvl w:val="1"/>
              <w:rPr>
                <w:rFonts w:hAnsi="宋体"/>
                <w:color w:val="auto"/>
                <w:sz w:val="18"/>
                <w:szCs w:val="18"/>
              </w:rPr>
            </w:pPr>
            <w:r>
              <w:rPr>
                <w:rFonts w:hint="eastAsia" w:hAnsi="宋体"/>
                <w:color w:val="auto"/>
                <w:sz w:val="18"/>
                <w:szCs w:val="18"/>
              </w:rPr>
              <w:t>未试验数量：0</w:t>
            </w:r>
          </w:p>
        </w:tc>
        <w:tc>
          <w:tcPr>
            <w:tcW w:w="2696" w:type="pct"/>
          </w:tcPr>
          <w:p>
            <w:pPr>
              <w:pStyle w:val="21"/>
              <w:jc w:val="both"/>
              <w:outlineLvl w:val="1"/>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1</w:t>
            </w:r>
          </w:p>
        </w:tc>
        <w:tc>
          <w:tcPr>
            <w:tcW w:w="940" w:type="pct"/>
          </w:tcPr>
          <w:p>
            <w:pPr>
              <w:pStyle w:val="21"/>
              <w:jc w:val="both"/>
              <w:outlineLvl w:val="1"/>
              <w:rPr>
                <w:rFonts w:hAnsi="宋体"/>
                <w:color w:val="auto"/>
                <w:sz w:val="18"/>
                <w:szCs w:val="18"/>
              </w:rPr>
            </w:pPr>
            <w:r>
              <w:rPr>
                <w:rFonts w:hAnsi="宋体"/>
                <w:color w:val="auto"/>
                <w:sz w:val="18"/>
                <w:szCs w:val="18"/>
              </w:rPr>
              <w:t>6.12</w:t>
            </w:r>
          </w:p>
          <w:p>
            <w:pPr>
              <w:pStyle w:val="21"/>
              <w:jc w:val="both"/>
              <w:outlineLvl w:val="1"/>
              <w:rPr>
                <w:rFonts w:hAnsi="宋体"/>
                <w:color w:val="auto"/>
                <w:sz w:val="18"/>
                <w:szCs w:val="18"/>
              </w:rPr>
            </w:pPr>
            <w:r>
              <w:rPr>
                <w:rFonts w:hint="eastAsia" w:hAnsi="宋体"/>
                <w:color w:val="auto"/>
                <w:sz w:val="18"/>
                <w:szCs w:val="18"/>
              </w:rPr>
              <w:t>（5.2.8）</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13</w:t>
            </w:r>
          </w:p>
          <w:p>
            <w:pPr>
              <w:pStyle w:val="21"/>
              <w:jc w:val="both"/>
              <w:outlineLvl w:val="1"/>
              <w:rPr>
                <w:rFonts w:hAnsi="宋体"/>
                <w:color w:val="auto"/>
                <w:sz w:val="18"/>
                <w:szCs w:val="18"/>
              </w:rPr>
            </w:pPr>
            <w:r>
              <w:rPr>
                <w:rFonts w:hint="eastAsia" w:hAnsi="宋体"/>
                <w:color w:val="auto"/>
                <w:sz w:val="18"/>
                <w:szCs w:val="18"/>
              </w:rPr>
              <w:t>未通过数量：1</w:t>
            </w:r>
          </w:p>
          <w:p>
            <w:pPr>
              <w:pStyle w:val="21"/>
              <w:jc w:val="both"/>
              <w:outlineLvl w:val="1"/>
              <w:rPr>
                <w:rFonts w:hAnsi="宋体"/>
                <w:color w:val="auto"/>
                <w:sz w:val="18"/>
                <w:szCs w:val="18"/>
              </w:rPr>
            </w:pPr>
            <w:r>
              <w:rPr>
                <w:rFonts w:hint="eastAsia" w:hAnsi="宋体"/>
                <w:color w:val="auto"/>
                <w:sz w:val="18"/>
                <w:szCs w:val="18"/>
              </w:rPr>
              <w:t>未试验数量：0</w:t>
            </w:r>
          </w:p>
        </w:tc>
        <w:tc>
          <w:tcPr>
            <w:tcW w:w="2696" w:type="pct"/>
          </w:tcPr>
          <w:p>
            <w:pPr>
              <w:pStyle w:val="21"/>
              <w:numPr>
                <w:ilvl w:val="0"/>
                <w:numId w:val="18"/>
              </w:numPr>
              <w:ind w:left="0" w:firstLine="0"/>
              <w:jc w:val="both"/>
              <w:outlineLvl w:val="1"/>
              <w:rPr>
                <w:rFonts w:hAnsi="宋体"/>
                <w:color w:val="auto"/>
                <w:sz w:val="18"/>
                <w:szCs w:val="18"/>
              </w:rPr>
            </w:pPr>
            <w:r>
              <w:rPr>
                <w:rFonts w:hint="eastAsia" w:hAnsi="宋体"/>
                <w:color w:val="auto"/>
                <w:sz w:val="18"/>
                <w:szCs w:val="18"/>
              </w:rPr>
              <w:t>升级失败提示时间过短，提示不明显。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pStyle w:val="21"/>
              <w:jc w:val="both"/>
              <w:outlineLvl w:val="1"/>
              <w:rPr>
                <w:rFonts w:hint="eastAsia" w:hAnsi="宋体"/>
                <w:color w:val="auto"/>
                <w:sz w:val="18"/>
                <w:szCs w:val="18"/>
              </w:rPr>
            </w:pPr>
            <w:r>
              <w:rPr>
                <w:rFonts w:hint="eastAsia" w:hAnsi="宋体"/>
                <w:color w:val="auto"/>
                <w:sz w:val="18"/>
                <w:szCs w:val="18"/>
              </w:rPr>
              <w:t>1</w:t>
            </w:r>
            <w:r>
              <w:rPr>
                <w:rFonts w:hAnsi="宋体"/>
                <w:color w:val="auto"/>
                <w:sz w:val="18"/>
                <w:szCs w:val="18"/>
              </w:rPr>
              <w:t>2</w:t>
            </w:r>
          </w:p>
        </w:tc>
        <w:tc>
          <w:tcPr>
            <w:tcW w:w="940" w:type="pct"/>
          </w:tcPr>
          <w:p>
            <w:pPr>
              <w:pStyle w:val="21"/>
              <w:jc w:val="both"/>
              <w:outlineLvl w:val="1"/>
              <w:rPr>
                <w:rFonts w:hAnsi="宋体"/>
                <w:color w:val="auto"/>
                <w:sz w:val="18"/>
                <w:szCs w:val="18"/>
              </w:rPr>
            </w:pPr>
            <w:r>
              <w:rPr>
                <w:rFonts w:hAnsi="宋体"/>
                <w:color w:val="auto"/>
                <w:sz w:val="18"/>
                <w:szCs w:val="18"/>
              </w:rPr>
              <w:t>6.13</w:t>
            </w:r>
          </w:p>
          <w:p>
            <w:pPr>
              <w:pStyle w:val="21"/>
              <w:jc w:val="both"/>
              <w:outlineLvl w:val="1"/>
              <w:rPr>
                <w:rFonts w:hAnsi="宋体"/>
                <w:color w:val="auto"/>
                <w:sz w:val="18"/>
                <w:szCs w:val="18"/>
              </w:rPr>
            </w:pPr>
            <w:r>
              <w:rPr>
                <w:rFonts w:hint="eastAsia" w:hAnsi="宋体"/>
                <w:color w:val="auto"/>
                <w:sz w:val="18"/>
                <w:szCs w:val="18"/>
              </w:rPr>
              <w:t>（5.2.9）</w:t>
            </w:r>
          </w:p>
        </w:tc>
        <w:tc>
          <w:tcPr>
            <w:tcW w:w="940" w:type="pct"/>
          </w:tcPr>
          <w:p>
            <w:pPr>
              <w:pStyle w:val="21"/>
              <w:jc w:val="both"/>
              <w:outlineLvl w:val="1"/>
              <w:rPr>
                <w:rFonts w:hAnsi="宋体"/>
                <w:color w:val="auto"/>
                <w:sz w:val="18"/>
                <w:szCs w:val="18"/>
              </w:rPr>
            </w:pPr>
            <w:r>
              <w:rPr>
                <w:rFonts w:hint="eastAsia" w:hAnsi="宋体"/>
                <w:color w:val="auto"/>
                <w:sz w:val="18"/>
                <w:szCs w:val="18"/>
              </w:rPr>
              <w:t>通过数量：</w:t>
            </w:r>
            <w:r>
              <w:rPr>
                <w:rFonts w:hAnsi="宋体"/>
                <w:color w:val="auto"/>
                <w:sz w:val="18"/>
                <w:szCs w:val="18"/>
              </w:rPr>
              <w:t>11</w:t>
            </w:r>
          </w:p>
          <w:p>
            <w:pPr>
              <w:pStyle w:val="21"/>
              <w:jc w:val="both"/>
              <w:outlineLvl w:val="1"/>
              <w:rPr>
                <w:rFonts w:hAnsi="宋体"/>
                <w:color w:val="auto"/>
                <w:sz w:val="18"/>
                <w:szCs w:val="18"/>
              </w:rPr>
            </w:pPr>
            <w:r>
              <w:rPr>
                <w:rFonts w:hint="eastAsia" w:hAnsi="宋体"/>
                <w:color w:val="auto"/>
                <w:sz w:val="18"/>
                <w:szCs w:val="18"/>
              </w:rPr>
              <w:t>未通过数量：3</w:t>
            </w:r>
          </w:p>
          <w:p>
            <w:pPr>
              <w:pStyle w:val="21"/>
              <w:jc w:val="both"/>
              <w:outlineLvl w:val="1"/>
              <w:rPr>
                <w:rFonts w:hAnsi="宋体"/>
                <w:color w:val="auto"/>
                <w:sz w:val="18"/>
                <w:szCs w:val="18"/>
              </w:rPr>
            </w:pPr>
            <w:r>
              <w:rPr>
                <w:rFonts w:hint="eastAsia" w:hAnsi="宋体"/>
                <w:color w:val="auto"/>
                <w:sz w:val="18"/>
                <w:szCs w:val="18"/>
              </w:rPr>
              <w:t>未试验数量：0</w:t>
            </w:r>
          </w:p>
        </w:tc>
        <w:tc>
          <w:tcPr>
            <w:tcW w:w="2696" w:type="pct"/>
          </w:tcPr>
          <w:p>
            <w:pPr>
              <w:pStyle w:val="21"/>
              <w:numPr>
                <w:ilvl w:val="0"/>
                <w:numId w:val="18"/>
              </w:numPr>
              <w:ind w:left="0" w:firstLine="0"/>
              <w:jc w:val="both"/>
              <w:outlineLvl w:val="1"/>
              <w:rPr>
                <w:rFonts w:hAnsi="宋体"/>
                <w:color w:val="auto"/>
                <w:sz w:val="18"/>
                <w:szCs w:val="18"/>
              </w:rPr>
            </w:pPr>
            <w:r>
              <w:rPr>
                <w:rFonts w:hint="eastAsia" w:hAnsi="宋体"/>
                <w:color w:val="auto"/>
                <w:sz w:val="18"/>
                <w:szCs w:val="18"/>
              </w:rPr>
              <w:t>在升级失败后未定义安全状态。</w:t>
            </w:r>
          </w:p>
        </w:tc>
      </w:tr>
    </w:tbl>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ascii="Times New Roman"/>
        </w:rPr>
      </w:pPr>
      <w:r>
        <w:rPr>
          <w:rFonts w:hint="eastAsia" w:hAnsi="宋体"/>
          <w:color w:val="auto"/>
          <w:sz w:val="21"/>
          <w:szCs w:val="21"/>
        </w:rPr>
        <w:t>总结：升级包真实性和完整性试验、软件识别码/软件版本号防篡改试验等需要企业配合度高，涉及其信息安全的审批，该部分试验可以与信息安全相关标准同步开展。</w:t>
      </w:r>
    </w:p>
    <w:p>
      <w:pPr>
        <w:autoSpaceDE w:val="0"/>
        <w:autoSpaceDN w:val="0"/>
        <w:adjustRightInd w:val="0"/>
        <w:spacing w:line="400" w:lineRule="exact"/>
        <w:ind w:firstLine="480"/>
        <w:outlineLvl w:val="0"/>
        <w:rPr>
          <w:rFonts w:eastAsia="黑体"/>
          <w:bCs/>
          <w:color w:val="000000"/>
          <w:kern w:val="0"/>
          <w:sz w:val="24"/>
        </w:rPr>
      </w:pPr>
      <w:bookmarkStart w:id="25" w:name="_Toc64898477"/>
      <w:r>
        <w:rPr>
          <w:rFonts w:hint="eastAsia" w:eastAsia="黑体"/>
          <w:bCs/>
          <w:color w:val="000000"/>
          <w:kern w:val="0"/>
          <w:sz w:val="24"/>
        </w:rPr>
        <w:t>三、</w:t>
      </w:r>
      <w:r>
        <w:rPr>
          <w:rFonts w:eastAsia="黑体"/>
          <w:bCs/>
          <w:color w:val="000000"/>
          <w:kern w:val="0"/>
          <w:sz w:val="24"/>
        </w:rPr>
        <w:t>与有关法律、行政法规和其他标准的关系</w:t>
      </w:r>
      <w:bookmarkEnd w:id="25"/>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本标准是我国智能网联汽车管理的重要内容；与现行相关法律、法规、规章及相关标准没有冲突或矛盾。</w:t>
      </w:r>
    </w:p>
    <w:p>
      <w:pPr>
        <w:autoSpaceDE w:val="0"/>
        <w:autoSpaceDN w:val="0"/>
        <w:adjustRightInd w:val="0"/>
        <w:spacing w:line="400" w:lineRule="exact"/>
        <w:ind w:firstLine="480"/>
        <w:outlineLvl w:val="0"/>
        <w:rPr>
          <w:rFonts w:eastAsia="黑体"/>
          <w:bCs/>
          <w:color w:val="000000"/>
          <w:kern w:val="0"/>
          <w:sz w:val="24"/>
        </w:rPr>
      </w:pPr>
      <w:bookmarkStart w:id="26" w:name="_Toc64898478"/>
      <w:r>
        <w:rPr>
          <w:rFonts w:hint="eastAsia" w:eastAsia="黑体"/>
          <w:bCs/>
          <w:color w:val="000000"/>
          <w:kern w:val="0"/>
          <w:sz w:val="24"/>
        </w:rPr>
        <w:t>四、</w:t>
      </w:r>
      <w:r>
        <w:rPr>
          <w:rFonts w:eastAsia="黑体"/>
          <w:bCs/>
          <w:color w:val="000000"/>
          <w:kern w:val="0"/>
          <w:sz w:val="24"/>
        </w:rPr>
        <w:t>与国际标准化组织、其他国家或者地区有关法律法规和标准的比对分析</w:t>
      </w:r>
      <w:bookmarkEnd w:id="26"/>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本标准未采用国际标准，基于国内行业发展现状和管理需求自主制定。</w:t>
      </w:r>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2020年6月，联合国世界车辆法规协调论坛（WP29）通过并发布R 156《关于软件升级和软件升级管理系统的汽车型式批准统一规定》，在软件升级管理体系证书、软件升级管理体系要求、车型要求、车型修改及扩展、生产一致性等方面做出规定，该法规已于2021年1月1日实施。欧盟计划从2022年7月起所有新车型如果不满足R 156将无法获取WVTA（Whole Vehicle Type Approval）证书，无法上市销售，2024年7月起制造的车辆必须满足该要求方可出厂销售。同时日本也将R 156纳入其汽车法规体系。</w:t>
      </w:r>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本标准主要技术内容包括汽车软件升级管理体系要求、车辆要求、试验方法。本标准的制定借鉴联合国世界车辆法规协调论坛(UN/WP29)已发布《关于软件升级和软件升级管理系统的汽车型式批准统一规定》法规的思路，在满足政府管理需求和符合行业发展现状的基础上自主制定。</w:t>
      </w:r>
    </w:p>
    <w:p>
      <w:pPr>
        <w:autoSpaceDE w:val="0"/>
        <w:autoSpaceDN w:val="0"/>
        <w:adjustRightInd w:val="0"/>
        <w:spacing w:line="400" w:lineRule="exact"/>
        <w:ind w:firstLine="480"/>
        <w:outlineLvl w:val="0"/>
        <w:rPr>
          <w:rFonts w:eastAsia="黑体"/>
          <w:bCs/>
          <w:color w:val="000000"/>
          <w:kern w:val="0"/>
          <w:sz w:val="24"/>
        </w:rPr>
      </w:pPr>
      <w:bookmarkStart w:id="27" w:name="_Toc64898479"/>
      <w:r>
        <w:rPr>
          <w:rFonts w:hint="eastAsia" w:eastAsia="黑体"/>
          <w:bCs/>
          <w:color w:val="000000"/>
          <w:kern w:val="0"/>
          <w:sz w:val="24"/>
        </w:rPr>
        <w:t>五、</w:t>
      </w:r>
      <w:r>
        <w:rPr>
          <w:rFonts w:eastAsia="黑体"/>
          <w:bCs/>
          <w:color w:val="000000"/>
          <w:kern w:val="0"/>
          <w:sz w:val="24"/>
        </w:rPr>
        <w:t>重大分歧意见的处理过程、处理意见及其依据</w:t>
      </w:r>
      <w:bookmarkEnd w:id="27"/>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本标准修订过程中无重大分歧。</w:t>
      </w:r>
    </w:p>
    <w:p>
      <w:pPr>
        <w:autoSpaceDE w:val="0"/>
        <w:autoSpaceDN w:val="0"/>
        <w:adjustRightInd w:val="0"/>
        <w:spacing w:line="400" w:lineRule="exact"/>
        <w:ind w:firstLine="480"/>
        <w:outlineLvl w:val="0"/>
        <w:rPr>
          <w:rFonts w:eastAsia="黑体"/>
          <w:bCs/>
          <w:color w:val="000000"/>
          <w:kern w:val="0"/>
          <w:sz w:val="24"/>
        </w:rPr>
      </w:pPr>
      <w:bookmarkStart w:id="28" w:name="_Toc64898480"/>
      <w:r>
        <w:rPr>
          <w:rFonts w:hint="eastAsia" w:eastAsia="黑体"/>
          <w:bCs/>
          <w:color w:val="000000"/>
          <w:kern w:val="0"/>
          <w:sz w:val="24"/>
        </w:rPr>
        <w:t>六、</w:t>
      </w:r>
      <w:r>
        <w:rPr>
          <w:rFonts w:eastAsia="黑体"/>
          <w:bCs/>
          <w:color w:val="000000"/>
          <w:kern w:val="0"/>
          <w:sz w:val="24"/>
        </w:rPr>
        <w:t>对强制性国家标准自发布日期至实施日期之间的过渡期的建议及理由</w:t>
      </w:r>
      <w:bookmarkEnd w:id="28"/>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由于汽车软件升级涉及企业软件升级管理体系调整、车辆功能开发、检测机构特殊试验开展等问题，建议本标准自发布日期至实施日期之间给予12个月过渡期。</w:t>
      </w:r>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lang w:eastAsia="zh-CN"/>
        </w:rPr>
      </w:pPr>
      <w:r>
        <w:rPr>
          <w:rFonts w:hint="eastAsia" w:hAnsi="宋体"/>
          <w:color w:val="auto"/>
          <w:sz w:val="21"/>
          <w:szCs w:val="21"/>
          <w:lang w:eastAsia="zh-CN"/>
        </w:rPr>
        <w:t>本标准的实施日期为：</w:t>
      </w:r>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lang w:eastAsia="zh-CN"/>
        </w:rPr>
      </w:pPr>
      <w:r>
        <w:rPr>
          <w:rFonts w:hint="eastAsia" w:hAnsi="宋体"/>
          <w:color w:val="auto"/>
          <w:sz w:val="21"/>
          <w:szCs w:val="21"/>
          <w:lang w:val="en-US" w:eastAsia="zh-CN"/>
        </w:rPr>
        <w:t>（1）</w:t>
      </w:r>
      <w:r>
        <w:rPr>
          <w:rFonts w:hint="eastAsia" w:hAnsi="宋体"/>
          <w:color w:val="auto"/>
          <w:sz w:val="21"/>
          <w:szCs w:val="21"/>
        </w:rPr>
        <w:t>对于新申请车辆型式批准的车型，自本文件实施之日起开始执行</w:t>
      </w:r>
      <w:r>
        <w:rPr>
          <w:rFonts w:hint="eastAsia" w:hAnsi="宋体"/>
          <w:color w:val="auto"/>
          <w:sz w:val="21"/>
          <w:szCs w:val="21"/>
          <w:lang w:eastAsia="zh-CN"/>
        </w:rPr>
        <w:t>；</w:t>
      </w:r>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lang w:eastAsia="zh-CN"/>
        </w:rPr>
      </w:pPr>
      <w:r>
        <w:rPr>
          <w:rFonts w:hint="eastAsia" w:hAnsi="宋体"/>
          <w:color w:val="auto"/>
          <w:sz w:val="21"/>
          <w:szCs w:val="21"/>
          <w:lang w:eastAsia="zh-CN"/>
        </w:rPr>
        <w:t>（</w:t>
      </w:r>
      <w:r>
        <w:rPr>
          <w:rFonts w:hint="eastAsia" w:hAnsi="宋体"/>
          <w:color w:val="auto"/>
          <w:sz w:val="21"/>
          <w:szCs w:val="21"/>
          <w:lang w:val="en-US" w:eastAsia="zh-CN"/>
        </w:rPr>
        <w:t>2</w:t>
      </w:r>
      <w:r>
        <w:rPr>
          <w:rFonts w:hint="eastAsia" w:hAnsi="宋体"/>
          <w:color w:val="auto"/>
          <w:sz w:val="21"/>
          <w:szCs w:val="21"/>
          <w:lang w:eastAsia="zh-CN"/>
        </w:rPr>
        <w:t>）</w:t>
      </w:r>
      <w:r>
        <w:rPr>
          <w:rFonts w:hint="eastAsia" w:hAnsi="宋体"/>
          <w:color w:val="auto"/>
          <w:sz w:val="21"/>
          <w:szCs w:val="21"/>
        </w:rPr>
        <w:t>对于已获得车辆型式批准的车型，自本文件实施之日起第</w:t>
      </w:r>
      <w:r>
        <w:rPr>
          <w:rFonts w:hint="default" w:hAnsi="宋体"/>
          <w:color w:val="auto"/>
          <w:sz w:val="21"/>
          <w:szCs w:val="21"/>
        </w:rPr>
        <w:t>13</w:t>
      </w:r>
      <w:r>
        <w:rPr>
          <w:rFonts w:hint="eastAsia" w:hAnsi="宋体"/>
          <w:color w:val="auto"/>
          <w:sz w:val="21"/>
          <w:szCs w:val="21"/>
        </w:rPr>
        <w:t>个月开始执行。</w:t>
      </w:r>
    </w:p>
    <w:p>
      <w:pPr>
        <w:autoSpaceDE w:val="0"/>
        <w:autoSpaceDN w:val="0"/>
        <w:adjustRightInd w:val="0"/>
        <w:spacing w:line="400" w:lineRule="exact"/>
        <w:ind w:firstLine="480"/>
        <w:outlineLvl w:val="0"/>
        <w:rPr>
          <w:rFonts w:eastAsia="黑体"/>
          <w:bCs/>
          <w:color w:val="000000"/>
          <w:kern w:val="0"/>
          <w:sz w:val="24"/>
        </w:rPr>
      </w:pPr>
      <w:bookmarkStart w:id="29" w:name="_Toc64898481"/>
      <w:r>
        <w:rPr>
          <w:rFonts w:hint="eastAsia" w:eastAsia="黑体"/>
          <w:bCs/>
          <w:color w:val="000000"/>
          <w:kern w:val="0"/>
          <w:sz w:val="24"/>
        </w:rPr>
        <w:t>七、</w:t>
      </w:r>
      <w:r>
        <w:rPr>
          <w:rFonts w:eastAsia="黑体"/>
          <w:bCs/>
          <w:color w:val="000000"/>
          <w:kern w:val="0"/>
          <w:sz w:val="24"/>
        </w:rPr>
        <w:t>与实施强制性国家标准有关的政策措施</w:t>
      </w:r>
      <w:bookmarkEnd w:id="29"/>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本标准</w:t>
      </w:r>
      <w:r>
        <w:rPr>
          <w:rFonts w:hint="eastAsia" w:hAnsi="宋体"/>
          <w:color w:val="auto"/>
          <w:sz w:val="21"/>
          <w:szCs w:val="21"/>
          <w:lang w:val="en-US" w:eastAsia="zh-CN"/>
        </w:rPr>
        <w:t>的</w:t>
      </w:r>
      <w:r>
        <w:rPr>
          <w:rFonts w:hint="eastAsia" w:hAnsi="宋体"/>
          <w:color w:val="auto"/>
          <w:sz w:val="21"/>
          <w:szCs w:val="21"/>
        </w:rPr>
        <w:t>实施监督管理部门是工业和信息化部。对于违反强制性国家标准的行为，应按照下列法律、行政法规、部门规章相关规定进行处理：</w:t>
      </w:r>
    </w:p>
    <w:p>
      <w:pPr>
        <w:autoSpaceDE w:val="0"/>
        <w:autoSpaceDN w:val="0"/>
        <w:adjustRightInd w:val="0"/>
        <w:spacing w:line="400" w:lineRule="exact"/>
        <w:ind w:firstLine="422"/>
        <w:jc w:val="left"/>
        <w:outlineLvl w:val="0"/>
        <w:rPr>
          <w:b/>
          <w:szCs w:val="21"/>
        </w:rPr>
      </w:pPr>
      <w:r>
        <w:rPr>
          <w:rFonts w:hint="eastAsia"/>
          <w:b/>
          <w:szCs w:val="21"/>
        </w:rPr>
        <w:t>（一）</w:t>
      </w:r>
      <w:r>
        <w:rPr>
          <w:b/>
          <w:szCs w:val="21"/>
        </w:rPr>
        <w:t>《中华人民共和国标准化法(2017修订)》</w:t>
      </w:r>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第二十五条  不符合强制性标准的产品、服务，不得生产、销售、进口或者提供。</w:t>
      </w:r>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第三十六条  生产、销售、进口产品或者提供服务不符合强制性标准，或者企业生产的产品、提供的服务不符合其公开标准的技术要求的，依法承担民事责任。</w:t>
      </w:r>
    </w:p>
    <w:p>
      <w:pPr>
        <w:autoSpaceDE w:val="0"/>
        <w:autoSpaceDN w:val="0"/>
        <w:adjustRightInd w:val="0"/>
        <w:spacing w:line="400" w:lineRule="exact"/>
        <w:ind w:firstLine="422"/>
        <w:jc w:val="left"/>
        <w:outlineLvl w:val="0"/>
        <w:rPr>
          <w:b/>
          <w:szCs w:val="21"/>
        </w:rPr>
      </w:pPr>
      <w:r>
        <w:rPr>
          <w:rFonts w:hint="eastAsia"/>
          <w:b/>
          <w:szCs w:val="21"/>
        </w:rPr>
        <w:t>（二）</w:t>
      </w:r>
      <w:r>
        <w:rPr>
          <w:b/>
          <w:szCs w:val="21"/>
        </w:rPr>
        <w:t>《</w:t>
      </w:r>
      <w:r>
        <w:rPr>
          <w:rFonts w:hint="eastAsia"/>
          <w:b/>
          <w:szCs w:val="21"/>
        </w:rPr>
        <w:t>中华人民共和国产品质量法</w:t>
      </w:r>
      <w:r>
        <w:rPr>
          <w:b/>
          <w:szCs w:val="21"/>
        </w:rPr>
        <w:t>（2018年修订）》</w:t>
      </w:r>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第十三条  可能危及人体健康和人身、财产安全的工业产品，必须符合保障人体健康和人身、财产安全的国家标准、行业标准；未制定国家标准、行业标准的，必须符合保障人体健康和人身、财产安全的要求。</w:t>
      </w:r>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禁止生产、销售不符合保障人体健康和人身、财产安全的标准和要求的工业产品。具体管理办法由国务院规定。</w:t>
      </w:r>
    </w:p>
    <w:p>
      <w:pPr>
        <w:autoSpaceDE w:val="0"/>
        <w:autoSpaceDN w:val="0"/>
        <w:adjustRightInd w:val="0"/>
        <w:spacing w:line="400" w:lineRule="exact"/>
        <w:ind w:firstLine="422"/>
        <w:jc w:val="left"/>
        <w:outlineLvl w:val="0"/>
        <w:rPr>
          <w:b/>
          <w:szCs w:val="21"/>
        </w:rPr>
      </w:pPr>
      <w:r>
        <w:rPr>
          <w:rFonts w:hint="eastAsia"/>
          <w:b/>
          <w:szCs w:val="21"/>
        </w:rPr>
        <w:t>（三）</w:t>
      </w:r>
      <w:r>
        <w:rPr>
          <w:b/>
          <w:szCs w:val="21"/>
        </w:rPr>
        <w:t>工业和信息化部《</w:t>
      </w:r>
      <w:r>
        <w:rPr>
          <w:rFonts w:hint="eastAsia"/>
          <w:b/>
          <w:szCs w:val="21"/>
        </w:rPr>
        <w:t>车辆生产企业及产品生产一致性监督管理办法</w:t>
      </w:r>
      <w:r>
        <w:rPr>
          <w:b/>
          <w:szCs w:val="21"/>
        </w:rPr>
        <w:t>》（</w:t>
      </w:r>
      <w:r>
        <w:rPr>
          <w:rFonts w:hint="eastAsia"/>
          <w:b/>
          <w:szCs w:val="21"/>
        </w:rPr>
        <w:t>工产业〔2010〕第109号</w:t>
      </w:r>
      <w:r>
        <w:rPr>
          <w:b/>
          <w:szCs w:val="21"/>
        </w:rPr>
        <w:t>）</w:t>
      </w:r>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第十条  对于不能保证产品生产一致性的车辆生产企业，工业和信息化部将视情节轻重，依法分别采取通报、限期整改、暂停或撤销“免予安全技术检验”备案、暂停或撤销其相关产品《公告》等措施。</w:t>
      </w:r>
    </w:p>
    <w:p>
      <w:pPr>
        <w:autoSpaceDE w:val="0"/>
        <w:autoSpaceDN w:val="0"/>
        <w:adjustRightInd w:val="0"/>
        <w:spacing w:line="400" w:lineRule="exact"/>
        <w:ind w:firstLine="480"/>
        <w:outlineLvl w:val="0"/>
        <w:rPr>
          <w:rFonts w:eastAsia="黑体"/>
          <w:bCs/>
          <w:color w:val="000000"/>
          <w:kern w:val="0"/>
          <w:sz w:val="24"/>
        </w:rPr>
      </w:pPr>
      <w:bookmarkStart w:id="30" w:name="_Toc64898482"/>
      <w:r>
        <w:rPr>
          <w:rFonts w:hint="eastAsia" w:eastAsia="黑体"/>
          <w:bCs/>
          <w:color w:val="000000"/>
          <w:kern w:val="0"/>
          <w:sz w:val="24"/>
        </w:rPr>
        <w:t>八、</w:t>
      </w:r>
      <w:r>
        <w:rPr>
          <w:rFonts w:eastAsia="黑体"/>
          <w:bCs/>
          <w:color w:val="000000"/>
          <w:kern w:val="0"/>
          <w:sz w:val="24"/>
        </w:rPr>
        <w:t>是否需要对外通报的建议及理由</w:t>
      </w:r>
      <w:bookmarkEnd w:id="30"/>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本标准为强制性国家标准，在标准适用范围为M类和N类汽车，涉及进口车，需对外通报。</w:t>
      </w:r>
    </w:p>
    <w:p>
      <w:pPr>
        <w:autoSpaceDE w:val="0"/>
        <w:autoSpaceDN w:val="0"/>
        <w:adjustRightInd w:val="0"/>
        <w:spacing w:line="400" w:lineRule="exact"/>
        <w:ind w:firstLine="480"/>
        <w:outlineLvl w:val="0"/>
        <w:rPr>
          <w:rFonts w:eastAsia="黑体"/>
          <w:bCs/>
          <w:color w:val="000000"/>
          <w:kern w:val="0"/>
          <w:sz w:val="24"/>
        </w:rPr>
      </w:pPr>
      <w:bookmarkStart w:id="31" w:name="_Toc64898483"/>
      <w:r>
        <w:rPr>
          <w:rFonts w:hint="eastAsia" w:eastAsia="黑体"/>
          <w:bCs/>
          <w:color w:val="000000"/>
          <w:kern w:val="0"/>
          <w:sz w:val="24"/>
        </w:rPr>
        <w:t>九、</w:t>
      </w:r>
      <w:r>
        <w:rPr>
          <w:rFonts w:eastAsia="黑体"/>
          <w:bCs/>
          <w:color w:val="000000"/>
          <w:kern w:val="0"/>
          <w:sz w:val="24"/>
        </w:rPr>
        <w:t>废止现行有关标准的建议</w:t>
      </w:r>
      <w:bookmarkEnd w:id="31"/>
      <w:bookmarkStart w:id="32" w:name="_Toc64898484"/>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无。</w:t>
      </w:r>
    </w:p>
    <w:p>
      <w:pPr>
        <w:autoSpaceDE w:val="0"/>
        <w:autoSpaceDN w:val="0"/>
        <w:adjustRightInd w:val="0"/>
        <w:spacing w:line="400" w:lineRule="exact"/>
        <w:ind w:firstLine="480"/>
        <w:outlineLvl w:val="0"/>
        <w:rPr>
          <w:rFonts w:eastAsia="黑体"/>
          <w:bCs/>
          <w:color w:val="000000"/>
          <w:kern w:val="0"/>
          <w:sz w:val="24"/>
        </w:rPr>
      </w:pPr>
      <w:r>
        <w:rPr>
          <w:rFonts w:hint="eastAsia" w:eastAsia="黑体"/>
          <w:bCs/>
          <w:color w:val="000000"/>
          <w:kern w:val="0"/>
          <w:sz w:val="24"/>
        </w:rPr>
        <w:t>十、</w:t>
      </w:r>
      <w:r>
        <w:rPr>
          <w:rFonts w:eastAsia="黑体"/>
          <w:bCs/>
          <w:color w:val="000000"/>
          <w:kern w:val="0"/>
          <w:sz w:val="24"/>
        </w:rPr>
        <w:t>涉及专利的有关说明</w:t>
      </w:r>
      <w:bookmarkEnd w:id="32"/>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r>
        <w:rPr>
          <w:rFonts w:hint="eastAsia" w:hAnsi="宋体"/>
          <w:color w:val="auto"/>
          <w:sz w:val="21"/>
          <w:szCs w:val="21"/>
        </w:rPr>
        <w:t>本标准不涉及专利。</w:t>
      </w:r>
    </w:p>
    <w:p>
      <w:pPr>
        <w:autoSpaceDE w:val="0"/>
        <w:autoSpaceDN w:val="0"/>
        <w:adjustRightInd w:val="0"/>
        <w:spacing w:line="400" w:lineRule="exact"/>
        <w:ind w:firstLine="480"/>
        <w:outlineLvl w:val="0"/>
        <w:rPr>
          <w:rFonts w:eastAsia="黑体"/>
          <w:bCs/>
          <w:color w:val="000000"/>
          <w:kern w:val="0"/>
          <w:sz w:val="24"/>
        </w:rPr>
      </w:pPr>
      <w:bookmarkStart w:id="33" w:name="_Toc64898485"/>
      <w:r>
        <w:rPr>
          <w:rFonts w:hint="eastAsia" w:eastAsia="黑体"/>
          <w:bCs/>
          <w:color w:val="000000"/>
          <w:kern w:val="0"/>
          <w:sz w:val="24"/>
        </w:rPr>
        <w:t>十一、</w:t>
      </w:r>
      <w:r>
        <w:rPr>
          <w:rFonts w:eastAsia="黑体"/>
          <w:bCs/>
          <w:color w:val="000000"/>
          <w:kern w:val="0"/>
          <w:sz w:val="24"/>
        </w:rPr>
        <w:t>强制性国家标准所涉及的产品、过程或者服务目录</w:t>
      </w:r>
      <w:bookmarkEnd w:id="33"/>
    </w:p>
    <w:p>
      <w:pPr>
        <w:pStyle w:val="21"/>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hAnsi="宋体"/>
          <w:color w:val="auto"/>
          <w:sz w:val="21"/>
          <w:szCs w:val="21"/>
        </w:rPr>
      </w:pPr>
      <w:bookmarkStart w:id="35" w:name="_GoBack"/>
      <w:r>
        <w:rPr>
          <w:rFonts w:hint="eastAsia" w:hAnsi="宋体"/>
          <w:color w:val="auto"/>
          <w:sz w:val="21"/>
          <w:szCs w:val="21"/>
        </w:rPr>
        <w:t>本标准涉及产品包括M和N类汽车。</w:t>
      </w:r>
    </w:p>
    <w:bookmarkEnd w:id="35"/>
    <w:p>
      <w:pPr>
        <w:autoSpaceDE w:val="0"/>
        <w:autoSpaceDN w:val="0"/>
        <w:adjustRightInd w:val="0"/>
        <w:spacing w:line="400" w:lineRule="exact"/>
        <w:ind w:firstLine="480"/>
        <w:outlineLvl w:val="0"/>
        <w:rPr>
          <w:rFonts w:eastAsia="黑体"/>
          <w:bCs/>
          <w:color w:val="000000"/>
          <w:kern w:val="0"/>
          <w:sz w:val="24"/>
        </w:rPr>
      </w:pPr>
      <w:bookmarkStart w:id="34" w:name="_Toc64898486"/>
      <w:r>
        <w:rPr>
          <w:rFonts w:hint="eastAsia" w:eastAsia="黑体"/>
          <w:bCs/>
          <w:color w:val="000000"/>
          <w:kern w:val="0"/>
          <w:sz w:val="24"/>
        </w:rPr>
        <w:t>十二、</w:t>
      </w:r>
      <w:r>
        <w:rPr>
          <w:rFonts w:eastAsia="黑体"/>
          <w:bCs/>
          <w:color w:val="000000"/>
          <w:kern w:val="0"/>
          <w:sz w:val="24"/>
        </w:rPr>
        <w:t>其他应当予以说明的事项</w:t>
      </w:r>
      <w:bookmarkEnd w:id="19"/>
      <w:bookmarkEnd w:id="34"/>
    </w:p>
    <w:p>
      <w:pPr>
        <w:spacing w:line="400" w:lineRule="exact"/>
        <w:ind w:firstLine="420"/>
      </w:pPr>
      <w:r>
        <w:t>无。</w:t>
      </w:r>
    </w:p>
    <w:p>
      <w:pPr>
        <w:spacing w:line="400" w:lineRule="exact"/>
        <w:ind w:firstLine="420"/>
      </w:pPr>
    </w:p>
    <w:p>
      <w:pPr>
        <w:spacing w:line="400" w:lineRule="exact"/>
        <w:ind w:firstLine="420"/>
        <w:jc w:val="right"/>
        <w:rPr>
          <w:rFonts w:hint="eastAsia"/>
          <w:lang w:val="en-US" w:eastAsia="zh-CN"/>
        </w:rPr>
      </w:pPr>
      <w:r>
        <w:rPr>
          <w:rFonts w:hint="eastAsia"/>
          <w:lang w:val="en-US" w:eastAsia="zh-CN"/>
        </w:rPr>
        <w:t>标准起草组</w:t>
      </w:r>
    </w:p>
    <w:p>
      <w:pPr>
        <w:spacing w:line="400" w:lineRule="exact"/>
        <w:ind w:firstLine="420"/>
        <w:jc w:val="right"/>
        <w:rPr>
          <w:rFonts w:hint="default"/>
          <w:lang w:val="en-US" w:eastAsia="zh-CN"/>
        </w:rPr>
      </w:pPr>
      <w:r>
        <w:rPr>
          <w:rFonts w:hint="eastAsia"/>
          <w:lang w:val="en-US" w:eastAsia="zh-CN"/>
        </w:rPr>
        <w:t>2022年4月8日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77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5002EFF" w:usb1="C000605B" w:usb2="00000029" w:usb3="00000000" w:csb0="200101FF" w:csb1="20280000"/>
  </w:font>
  <w:font w:name="华光淡古印_CNKI">
    <w:panose1 w:val="02000500000000000000"/>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8180970"/>
    </w:sdtPr>
    <w:sdtContent>
      <w:p>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976021"/>
    </w:sdtPr>
    <w:sdtContent>
      <w:p>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pPr>
      <w:pStyle w:val="9"/>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utoSpaceDE w:val="0"/>
      <w:autoSpaceDN w:val="0"/>
      <w:adjustRightInd w:val="0"/>
      <w:spacing w:line="400" w:lineRule="exact"/>
      <w:ind w:firstLine="0" w:firstLineChars="0"/>
      <w:jc w:val="center"/>
      <w:outlineLvl w:val="0"/>
    </w:pPr>
    <w:r>
      <w:rPr>
        <w:rFonts w:hint="eastAsia" w:ascii="宋体" w:hAnsi="宋体" w:eastAsia="宋体" w:cs="宋体"/>
        <w:color w:val="000000"/>
        <w:kern w:val="0"/>
        <w:sz w:val="18"/>
        <w:szCs w:val="18"/>
      </w:rPr>
      <w:t>《汽车软件升级通用技术要求》（征求意见稿）编制说明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utoSpaceDE w:val="0"/>
      <w:autoSpaceDN w:val="0"/>
      <w:adjustRightInd w:val="0"/>
      <w:spacing w:line="400" w:lineRule="exact"/>
      <w:ind w:firstLine="0" w:firstLineChars="0"/>
      <w:jc w:val="center"/>
      <w:outlineLvl w:val="0"/>
    </w:pPr>
    <w:r>
      <w:rPr>
        <w:rFonts w:hint="eastAsia" w:ascii="宋体" w:hAnsi="宋体" w:eastAsia="宋体" w:cs="宋体"/>
        <w:color w:val="000000"/>
        <w:kern w:val="0"/>
        <w:sz w:val="18"/>
        <w:szCs w:val="18"/>
      </w:rPr>
      <w:t>《汽车软件升级通用技术要求》（征求意见稿）编制说明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1B560"/>
    <w:multiLevelType w:val="singleLevel"/>
    <w:tmpl w:val="9391B560"/>
    <w:lvl w:ilvl="0" w:tentative="0">
      <w:start w:val="1"/>
      <w:numFmt w:val="lowerLetter"/>
      <w:suff w:val="space"/>
      <w:lvlText w:val="(%1)"/>
      <w:lvlJc w:val="left"/>
      <w:pPr>
        <w:ind w:left="525" w:firstLine="0"/>
      </w:pPr>
    </w:lvl>
  </w:abstractNum>
  <w:abstractNum w:abstractNumId="1">
    <w:nsid w:val="C3B7FBE3"/>
    <w:multiLevelType w:val="singleLevel"/>
    <w:tmpl w:val="C3B7FBE3"/>
    <w:lvl w:ilvl="0" w:tentative="0">
      <w:start w:val="1"/>
      <w:numFmt w:val="lowerLetter"/>
      <w:suff w:val="space"/>
      <w:lvlText w:val="%1)"/>
      <w:lvlJc w:val="left"/>
      <w:rPr>
        <w:rFonts w:hint="default" w:ascii="黑体" w:hAnsi="黑体" w:eastAsia="黑体" w:cs="黑体"/>
      </w:rPr>
    </w:lvl>
  </w:abstractNum>
  <w:abstractNum w:abstractNumId="2">
    <w:nsid w:val="D326055C"/>
    <w:multiLevelType w:val="singleLevel"/>
    <w:tmpl w:val="D326055C"/>
    <w:lvl w:ilvl="0" w:tentative="0">
      <w:start w:val="1"/>
      <w:numFmt w:val="lowerLetter"/>
      <w:suff w:val="space"/>
      <w:lvlText w:val="%1)"/>
      <w:lvlJc w:val="left"/>
      <w:rPr>
        <w:rFonts w:hint="default" w:ascii="黑体" w:hAnsi="黑体" w:eastAsia="黑体" w:cs="黑体"/>
      </w:rPr>
    </w:lvl>
  </w:abstractNum>
  <w:abstractNum w:abstractNumId="3">
    <w:nsid w:val="F8EB03FB"/>
    <w:multiLevelType w:val="multilevel"/>
    <w:tmpl w:val="F8EB03FB"/>
    <w:lvl w:ilvl="0" w:tentative="0">
      <w:start w:val="1"/>
      <w:numFmt w:val="lowerLetter"/>
      <w:pStyle w:val="5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6FB7623"/>
    <w:multiLevelType w:val="multilevel"/>
    <w:tmpl w:val="06FB76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E241B5A"/>
    <w:multiLevelType w:val="multilevel"/>
    <w:tmpl w:val="0E241B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86B0368"/>
    <w:multiLevelType w:val="multilevel"/>
    <w:tmpl w:val="186B0368"/>
    <w:lvl w:ilvl="0" w:tentative="0">
      <w:start w:val="2"/>
      <w:numFmt w:val="decimal"/>
      <w:pStyle w:val="57"/>
      <w:suff w:val="nothing"/>
      <w:lvlText w:val="表%1　"/>
      <w:lvlJc w:val="left"/>
      <w:pPr>
        <w:ind w:left="0" w:firstLine="0"/>
      </w:pPr>
    </w:lvl>
    <w:lvl w:ilvl="1" w:tentative="0">
      <w:start w:val="1"/>
      <w:numFmt w:val="decimal"/>
      <w:pStyle w:val="51"/>
      <w:lvlText w:val="%1.%2"/>
      <w:lvlJc w:val="left"/>
      <w:pPr>
        <w:tabs>
          <w:tab w:val="left" w:pos="992"/>
        </w:tabs>
        <w:ind w:left="992" w:hanging="567"/>
      </w:pPr>
    </w:lvl>
    <w:lvl w:ilvl="2" w:tentative="0">
      <w:start w:val="1"/>
      <w:numFmt w:val="decimal"/>
      <w:pStyle w:val="44"/>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32954FEB"/>
    <w:multiLevelType w:val="singleLevel"/>
    <w:tmpl w:val="32954FEB"/>
    <w:lvl w:ilvl="0" w:tentative="0">
      <w:start w:val="1"/>
      <w:numFmt w:val="lowerLetter"/>
      <w:suff w:val="nothing"/>
      <w:lvlText w:val="%1）"/>
      <w:lvlJc w:val="left"/>
    </w:lvl>
  </w:abstractNum>
  <w:abstractNum w:abstractNumId="8">
    <w:nsid w:val="3C2477B0"/>
    <w:multiLevelType w:val="multilevel"/>
    <w:tmpl w:val="3C2477B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00D663B"/>
    <w:multiLevelType w:val="multilevel"/>
    <w:tmpl w:val="400D663B"/>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0537A23"/>
    <w:multiLevelType w:val="multilevel"/>
    <w:tmpl w:val="40537A23"/>
    <w:lvl w:ilvl="0" w:tentative="0">
      <w:start w:val="1"/>
      <w:numFmt w:val="decimal"/>
      <w:lvlText w:val="%1"/>
      <w:lvlJc w:val="left"/>
      <w:pPr>
        <w:tabs>
          <w:tab w:val="left" w:pos="360"/>
        </w:tabs>
        <w:ind w:left="360" w:hanging="360"/>
      </w:pPr>
      <w:rPr>
        <w:rFonts w:hint="default"/>
      </w:rPr>
    </w:lvl>
    <w:lvl w:ilvl="1" w:tentative="0">
      <w:start w:val="1"/>
      <w:numFmt w:val="decimal"/>
      <w:isLgl/>
      <w:lvlText w:val="%1.%2"/>
      <w:lvlJc w:val="left"/>
      <w:pPr>
        <w:tabs>
          <w:tab w:val="left" w:pos="360"/>
        </w:tabs>
        <w:ind w:left="360" w:hanging="360"/>
      </w:pPr>
      <w:rPr>
        <w:rFonts w:hint="default"/>
        <w:b w:val="0"/>
        <w:bCs w:val="0"/>
      </w:rPr>
    </w:lvl>
    <w:lvl w:ilvl="2" w:tentative="0">
      <w:start w:val="1"/>
      <w:numFmt w:val="decimal"/>
      <w:lvlText w:val="%3."/>
      <w:lvlJc w:val="left"/>
      <w:pPr>
        <w:ind w:left="420" w:hanging="420"/>
      </w:pPr>
    </w:lvl>
    <w:lvl w:ilvl="3" w:tentative="0">
      <w:start w:val="1"/>
      <w:numFmt w:val="decimal"/>
      <w:pStyle w:val="55"/>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11">
    <w:nsid w:val="406103FB"/>
    <w:multiLevelType w:val="multilevel"/>
    <w:tmpl w:val="406103F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4ACA7AC7"/>
    <w:multiLevelType w:val="multilevel"/>
    <w:tmpl w:val="4ACA7AC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21DD3C8"/>
    <w:multiLevelType w:val="multilevel"/>
    <w:tmpl w:val="521DD3C8"/>
    <w:lvl w:ilvl="0" w:tentative="0">
      <w:start w:val="1"/>
      <w:numFmt w:val="decimal"/>
      <w:lvlText w:val="%1)"/>
      <w:lvlJc w:val="left"/>
      <w:pPr>
        <w:ind w:left="2122" w:hanging="420"/>
      </w:pPr>
    </w:lvl>
    <w:lvl w:ilvl="1" w:tentative="0">
      <w:start w:val="1"/>
      <w:numFmt w:val="lowerLetter"/>
      <w:lvlText w:val="%2)"/>
      <w:lvlJc w:val="left"/>
      <w:pPr>
        <w:ind w:left="1265" w:hanging="420"/>
      </w:pPr>
    </w:lvl>
    <w:lvl w:ilvl="2" w:tentative="0">
      <w:start w:val="1"/>
      <w:numFmt w:val="lowerRoman"/>
      <w:pStyle w:val="50"/>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4">
    <w:nsid w:val="7AD8013E"/>
    <w:multiLevelType w:val="multilevel"/>
    <w:tmpl w:val="7AD8013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B8D2E04"/>
    <w:multiLevelType w:val="multilevel"/>
    <w:tmpl w:val="7B8D2E04"/>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BA23632"/>
    <w:multiLevelType w:val="multilevel"/>
    <w:tmpl w:val="7BA23632"/>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DB60830"/>
    <w:multiLevelType w:val="multilevel"/>
    <w:tmpl w:val="7DB6083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13"/>
  </w:num>
  <w:num w:numId="3">
    <w:abstractNumId w:val="3"/>
  </w:num>
  <w:num w:numId="4">
    <w:abstractNumId w:val="10"/>
  </w:num>
  <w:num w:numId="5">
    <w:abstractNumId w:val="9"/>
  </w:num>
  <w:num w:numId="6">
    <w:abstractNumId w:val="0"/>
  </w:num>
  <w:num w:numId="7">
    <w:abstractNumId w:val="16"/>
  </w:num>
  <w:num w:numId="8">
    <w:abstractNumId w:val="11"/>
  </w:num>
  <w:num w:numId="9">
    <w:abstractNumId w:val="8"/>
  </w:num>
  <w:num w:numId="10">
    <w:abstractNumId w:val="1"/>
  </w:num>
  <w:num w:numId="11">
    <w:abstractNumId w:val="7"/>
  </w:num>
  <w:num w:numId="12">
    <w:abstractNumId w:val="2"/>
  </w:num>
  <w:num w:numId="13">
    <w:abstractNumId w:val="15"/>
  </w:num>
  <w:num w:numId="14">
    <w:abstractNumId w:val="4"/>
  </w:num>
  <w:num w:numId="15">
    <w:abstractNumId w:val="14"/>
  </w:num>
  <w:num w:numId="16">
    <w:abstractNumId w:val="5"/>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45"/>
    <w:rsid w:val="000A233B"/>
    <w:rsid w:val="000B4AA4"/>
    <w:rsid w:val="00114B25"/>
    <w:rsid w:val="0015160D"/>
    <w:rsid w:val="00167B0A"/>
    <w:rsid w:val="001A335B"/>
    <w:rsid w:val="001A5D20"/>
    <w:rsid w:val="00217BB9"/>
    <w:rsid w:val="00236B56"/>
    <w:rsid w:val="002502F4"/>
    <w:rsid w:val="00260138"/>
    <w:rsid w:val="00280CC2"/>
    <w:rsid w:val="002A65E3"/>
    <w:rsid w:val="002F2D31"/>
    <w:rsid w:val="00377517"/>
    <w:rsid w:val="0038380F"/>
    <w:rsid w:val="00436CB7"/>
    <w:rsid w:val="004603C7"/>
    <w:rsid w:val="00491213"/>
    <w:rsid w:val="00552A94"/>
    <w:rsid w:val="005B19DC"/>
    <w:rsid w:val="005E5508"/>
    <w:rsid w:val="00622AA2"/>
    <w:rsid w:val="006774AF"/>
    <w:rsid w:val="0068575E"/>
    <w:rsid w:val="006F1ACB"/>
    <w:rsid w:val="00704FF7"/>
    <w:rsid w:val="00705B04"/>
    <w:rsid w:val="00720731"/>
    <w:rsid w:val="00722E1F"/>
    <w:rsid w:val="00776C0C"/>
    <w:rsid w:val="007B788B"/>
    <w:rsid w:val="007C129F"/>
    <w:rsid w:val="007C1F78"/>
    <w:rsid w:val="008045A0"/>
    <w:rsid w:val="00814265"/>
    <w:rsid w:val="00820218"/>
    <w:rsid w:val="00832B13"/>
    <w:rsid w:val="00841A6D"/>
    <w:rsid w:val="00892845"/>
    <w:rsid w:val="008C09FD"/>
    <w:rsid w:val="008D2649"/>
    <w:rsid w:val="008F47C2"/>
    <w:rsid w:val="00945B03"/>
    <w:rsid w:val="009535F8"/>
    <w:rsid w:val="0095555A"/>
    <w:rsid w:val="009656D2"/>
    <w:rsid w:val="009C06D7"/>
    <w:rsid w:val="009D4CD2"/>
    <w:rsid w:val="00A2748A"/>
    <w:rsid w:val="00A82D38"/>
    <w:rsid w:val="00AD1F08"/>
    <w:rsid w:val="00B1292A"/>
    <w:rsid w:val="00B65EB8"/>
    <w:rsid w:val="00B93CF6"/>
    <w:rsid w:val="00B94D48"/>
    <w:rsid w:val="00B95FA2"/>
    <w:rsid w:val="00BB727F"/>
    <w:rsid w:val="00BF30D4"/>
    <w:rsid w:val="00C75369"/>
    <w:rsid w:val="00D263EE"/>
    <w:rsid w:val="00D2752D"/>
    <w:rsid w:val="00DB7620"/>
    <w:rsid w:val="00E10D03"/>
    <w:rsid w:val="00EB3970"/>
    <w:rsid w:val="00EB70F3"/>
    <w:rsid w:val="00EF600F"/>
    <w:rsid w:val="00F6014B"/>
    <w:rsid w:val="00FB180E"/>
    <w:rsid w:val="00FC2516"/>
    <w:rsid w:val="01CC39ED"/>
    <w:rsid w:val="0482552A"/>
    <w:rsid w:val="04DE3311"/>
    <w:rsid w:val="05A473C7"/>
    <w:rsid w:val="085129F5"/>
    <w:rsid w:val="0A077B50"/>
    <w:rsid w:val="0CFD1984"/>
    <w:rsid w:val="10826763"/>
    <w:rsid w:val="16B614C0"/>
    <w:rsid w:val="176A6427"/>
    <w:rsid w:val="1B172614"/>
    <w:rsid w:val="1D8E5BC1"/>
    <w:rsid w:val="1E4C0D6F"/>
    <w:rsid w:val="1FFDEF0A"/>
    <w:rsid w:val="215C6D23"/>
    <w:rsid w:val="216606E3"/>
    <w:rsid w:val="23C40E3D"/>
    <w:rsid w:val="241348CF"/>
    <w:rsid w:val="28314B16"/>
    <w:rsid w:val="28AC5A91"/>
    <w:rsid w:val="29371C27"/>
    <w:rsid w:val="2BDC5D5B"/>
    <w:rsid w:val="2F833028"/>
    <w:rsid w:val="308A3A00"/>
    <w:rsid w:val="33DD331B"/>
    <w:rsid w:val="362E1D67"/>
    <w:rsid w:val="3A434847"/>
    <w:rsid w:val="3A6C28D9"/>
    <w:rsid w:val="3B77B72C"/>
    <w:rsid w:val="41082C9B"/>
    <w:rsid w:val="42340811"/>
    <w:rsid w:val="47D07B75"/>
    <w:rsid w:val="486E70B7"/>
    <w:rsid w:val="4A68119B"/>
    <w:rsid w:val="4B1C7444"/>
    <w:rsid w:val="4EE5396A"/>
    <w:rsid w:val="520E786F"/>
    <w:rsid w:val="531E2B84"/>
    <w:rsid w:val="578D3D24"/>
    <w:rsid w:val="582D3C8A"/>
    <w:rsid w:val="58D9539C"/>
    <w:rsid w:val="699140AB"/>
    <w:rsid w:val="6B2C0883"/>
    <w:rsid w:val="6D75677B"/>
    <w:rsid w:val="77485D15"/>
    <w:rsid w:val="78A25AEB"/>
    <w:rsid w:val="791378D2"/>
    <w:rsid w:val="7AE806D8"/>
    <w:rsid w:val="7B77DCFE"/>
    <w:rsid w:val="7BE60111"/>
    <w:rsid w:val="7D66E0D7"/>
    <w:rsid w:val="7F5E77F3"/>
    <w:rsid w:val="7F74F750"/>
    <w:rsid w:val="7FC65F0E"/>
    <w:rsid w:val="BF7F4303"/>
    <w:rsid w:val="EFEE3902"/>
    <w:rsid w:val="F6FB5AB7"/>
    <w:rsid w:val="FFDB7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caption"/>
    <w:basedOn w:val="1"/>
    <w:next w:val="1"/>
    <w:semiHidden/>
    <w:unhideWhenUsed/>
    <w:qFormat/>
    <w:uiPriority w:val="35"/>
    <w:rPr>
      <w:rFonts w:ascii="Cambria" w:hAnsi="Cambria" w:eastAsia="黑体"/>
      <w:sz w:val="20"/>
      <w:szCs w:val="20"/>
    </w:rPr>
  </w:style>
  <w:style w:type="paragraph" w:styleId="4">
    <w:name w:val="Document Map"/>
    <w:basedOn w:val="1"/>
    <w:link w:val="31"/>
    <w:uiPriority w:val="0"/>
    <w:pPr>
      <w:spacing w:line="240" w:lineRule="auto"/>
      <w:ind w:firstLine="0" w:firstLineChars="0"/>
    </w:pPr>
    <w:rPr>
      <w:rFonts w:ascii="宋体" w:hAnsi="Calibri"/>
      <w:sz w:val="18"/>
      <w:szCs w:val="18"/>
    </w:rPr>
  </w:style>
  <w:style w:type="paragraph" w:styleId="5">
    <w:name w:val="annotation text"/>
    <w:basedOn w:val="1"/>
    <w:link w:val="32"/>
    <w:uiPriority w:val="0"/>
    <w:pPr>
      <w:spacing w:line="240" w:lineRule="auto"/>
      <w:ind w:firstLine="0" w:firstLineChars="0"/>
      <w:jc w:val="left"/>
    </w:pPr>
    <w:rPr>
      <w:rFonts w:ascii="Calibri" w:hAnsi="Calibri"/>
    </w:rPr>
  </w:style>
  <w:style w:type="paragraph" w:styleId="6">
    <w:name w:val="Body Text Indent"/>
    <w:basedOn w:val="1"/>
    <w:link w:val="33"/>
    <w:uiPriority w:val="0"/>
    <w:pPr>
      <w:adjustRightInd w:val="0"/>
      <w:snapToGrid w:val="0"/>
      <w:ind w:firstLine="420" w:firstLineChars="0"/>
    </w:pPr>
    <w:rPr>
      <w:rFonts w:ascii="宋体" w:hAnsi="Calibri"/>
      <w:szCs w:val="20"/>
    </w:rPr>
  </w:style>
  <w:style w:type="paragraph" w:styleId="7">
    <w:name w:val="Date"/>
    <w:basedOn w:val="1"/>
    <w:next w:val="1"/>
    <w:link w:val="34"/>
    <w:qFormat/>
    <w:uiPriority w:val="99"/>
    <w:pPr>
      <w:spacing w:line="240" w:lineRule="auto"/>
      <w:ind w:left="100" w:leftChars="2500" w:firstLine="0" w:firstLineChars="0"/>
    </w:pPr>
    <w:rPr>
      <w:rFonts w:ascii="Calibri" w:hAnsi="Calibri"/>
    </w:rPr>
  </w:style>
  <w:style w:type="paragraph" w:styleId="8">
    <w:name w:val="Balloon Text"/>
    <w:basedOn w:val="1"/>
    <w:link w:val="35"/>
    <w:uiPriority w:val="0"/>
    <w:pPr>
      <w:spacing w:line="240" w:lineRule="auto"/>
      <w:ind w:firstLine="0" w:firstLineChars="0"/>
    </w:pPr>
    <w:rPr>
      <w:rFonts w:ascii="Calibri" w:hAnsi="Calibri"/>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semiHidden/>
    <w:unhideWhenUsed/>
    <w:qFormat/>
    <w:uiPriority w:val="99"/>
    <w:pPr>
      <w:widowControl/>
      <w:spacing w:beforeAutospacing="1" w:afterAutospacing="1"/>
      <w:jc w:val="left"/>
    </w:pPr>
    <w:rPr>
      <w:rFonts w:ascii="宋体" w:hAnsi="宋体"/>
      <w:kern w:val="0"/>
      <w:sz w:val="24"/>
    </w:rPr>
  </w:style>
  <w:style w:type="paragraph" w:styleId="13">
    <w:name w:val="annotation subject"/>
    <w:basedOn w:val="5"/>
    <w:next w:val="5"/>
    <w:link w:val="36"/>
    <w:uiPriority w:val="0"/>
    <w:rPr>
      <w:b/>
      <w:bCs/>
    </w:rPr>
  </w:style>
  <w:style w:type="table" w:styleId="15">
    <w:name w:val="Table Grid"/>
    <w:basedOn w:val="14"/>
    <w:qFormat/>
    <w:uiPriority w:val="39"/>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0"/>
    <w:rPr>
      <w:color w:val="0563C1" w:themeColor="hyperlink"/>
      <w:u w:val="single"/>
      <w14:textFill>
        <w14:solidFill>
          <w14:schemeClr w14:val="hlink"/>
        </w14:solidFill>
      </w14:textFill>
    </w:rPr>
  </w:style>
  <w:style w:type="character" w:styleId="18">
    <w:name w:val="annotation reference"/>
    <w:uiPriority w:val="0"/>
    <w:rPr>
      <w:sz w:val="21"/>
      <w:szCs w:val="21"/>
    </w:rPr>
  </w:style>
  <w:style w:type="character" w:customStyle="1" w:styleId="19">
    <w:name w:val="页眉 字符"/>
    <w:basedOn w:val="16"/>
    <w:link w:val="10"/>
    <w:qFormat/>
    <w:uiPriority w:val="0"/>
    <w:rPr>
      <w:sz w:val="18"/>
      <w:szCs w:val="18"/>
    </w:rPr>
  </w:style>
  <w:style w:type="character" w:customStyle="1" w:styleId="20">
    <w:name w:val="页脚 字符"/>
    <w:basedOn w:val="16"/>
    <w:link w:val="9"/>
    <w:qFormat/>
    <w:uiPriority w:val="99"/>
    <w:rPr>
      <w:sz w:val="18"/>
      <w:szCs w:val="18"/>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标题 1 字符"/>
    <w:basedOn w:val="16"/>
    <w:link w:val="2"/>
    <w:qFormat/>
    <w:uiPriority w:val="9"/>
    <w:rPr>
      <w:rFonts w:ascii="Times New Roman" w:hAnsi="Times New Roman" w:eastAsia="宋体" w:cs="Times New Roman"/>
      <w:b/>
      <w:bCs/>
      <w:kern w:val="44"/>
      <w:sz w:val="44"/>
      <w:szCs w:val="44"/>
    </w:rPr>
  </w:style>
  <w:style w:type="paragraph" w:customStyle="1" w:styleId="23">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24">
    <w:name w:val="List Paragraph"/>
    <w:basedOn w:val="1"/>
    <w:qFormat/>
    <w:uiPriority w:val="99"/>
    <w:pPr>
      <w:ind w:firstLine="420"/>
    </w:pPr>
  </w:style>
  <w:style w:type="paragraph" w:customStyle="1" w:styleId="25">
    <w:name w:val="标准文件_正文表标题"/>
    <w:basedOn w:val="1"/>
    <w:next w:val="1"/>
    <w:qFormat/>
    <w:uiPriority w:val="0"/>
    <w:pPr>
      <w:widowControl/>
      <w:numPr>
        <w:ilvl w:val="0"/>
        <w:numId w:val="1"/>
      </w:numPr>
      <w:tabs>
        <w:tab w:val="left" w:pos="0"/>
      </w:tabs>
      <w:spacing w:before="50" w:beforeLines="50" w:after="50" w:afterLines="50"/>
      <w:jc w:val="center"/>
    </w:pPr>
    <w:rPr>
      <w:rFonts w:hint="eastAsia" w:ascii="黑体" w:eastAsia="黑体"/>
      <w:kern w:val="0"/>
      <w:szCs w:val="20"/>
    </w:rPr>
  </w:style>
  <w:style w:type="paragraph" w:customStyle="1" w:styleId="26">
    <w:name w:val="标准文件_表格"/>
    <w:basedOn w:val="1"/>
    <w:qFormat/>
    <w:uiPriority w:val="0"/>
    <w:pPr>
      <w:widowControl/>
      <w:autoSpaceDE w:val="0"/>
      <w:autoSpaceDN w:val="0"/>
      <w:jc w:val="center"/>
    </w:pPr>
    <w:rPr>
      <w:rFonts w:hint="eastAsia" w:ascii="宋体"/>
      <w:kern w:val="0"/>
      <w:sz w:val="18"/>
      <w:szCs w:val="20"/>
    </w:rPr>
  </w:style>
  <w:style w:type="character" w:customStyle="1" w:styleId="27">
    <w:name w:val="图 Char"/>
    <w:basedOn w:val="16"/>
    <w:link w:val="28"/>
    <w:qFormat/>
    <w:uiPriority w:val="0"/>
    <w:rPr>
      <w:rFonts w:hint="default" w:ascii="Times New Roman" w:hAnsi="Times New Roman" w:cs="Times New Roman"/>
      <w:b/>
      <w:kern w:val="2"/>
      <w:sz w:val="21"/>
      <w:szCs w:val="22"/>
    </w:rPr>
  </w:style>
  <w:style w:type="paragraph" w:customStyle="1" w:styleId="28">
    <w:name w:val="图"/>
    <w:basedOn w:val="1"/>
    <w:link w:val="27"/>
    <w:qFormat/>
    <w:uiPriority w:val="0"/>
    <w:pPr>
      <w:jc w:val="center"/>
    </w:pPr>
    <w:rPr>
      <w:b/>
      <w:szCs w:val="22"/>
    </w:rPr>
  </w:style>
  <w:style w:type="character" w:customStyle="1" w:styleId="29">
    <w:name w:val="pic Char"/>
    <w:basedOn w:val="16"/>
    <w:link w:val="30"/>
    <w:qFormat/>
    <w:uiPriority w:val="0"/>
    <w:rPr>
      <w:rFonts w:hint="default" w:ascii="Times New Roman" w:hAnsi="Times New Roman" w:cs="Times New Roman"/>
      <w:kern w:val="2"/>
      <w:sz w:val="28"/>
      <w:szCs w:val="22"/>
    </w:rPr>
  </w:style>
  <w:style w:type="paragraph" w:customStyle="1" w:styleId="30">
    <w:name w:val="pic"/>
    <w:basedOn w:val="1"/>
    <w:link w:val="29"/>
    <w:qFormat/>
    <w:uiPriority w:val="0"/>
    <w:pPr>
      <w:spacing w:before="156" w:beforeLines="50" w:after="156" w:afterLines="50"/>
      <w:jc w:val="center"/>
    </w:pPr>
    <w:rPr>
      <w:sz w:val="28"/>
      <w:szCs w:val="22"/>
    </w:rPr>
  </w:style>
  <w:style w:type="character" w:customStyle="1" w:styleId="31">
    <w:name w:val="文档结构图 字符"/>
    <w:basedOn w:val="16"/>
    <w:link w:val="4"/>
    <w:uiPriority w:val="0"/>
    <w:rPr>
      <w:rFonts w:ascii="宋体" w:cs="Times New Roman"/>
      <w:kern w:val="2"/>
      <w:sz w:val="18"/>
      <w:szCs w:val="18"/>
    </w:rPr>
  </w:style>
  <w:style w:type="character" w:customStyle="1" w:styleId="32">
    <w:name w:val="批注文字 字符"/>
    <w:basedOn w:val="16"/>
    <w:link w:val="5"/>
    <w:uiPriority w:val="0"/>
    <w:rPr>
      <w:rFonts w:cs="Times New Roman"/>
      <w:kern w:val="2"/>
      <w:sz w:val="21"/>
      <w:szCs w:val="24"/>
    </w:rPr>
  </w:style>
  <w:style w:type="character" w:customStyle="1" w:styleId="33">
    <w:name w:val="正文文本缩进 字符"/>
    <w:basedOn w:val="16"/>
    <w:link w:val="6"/>
    <w:uiPriority w:val="0"/>
    <w:rPr>
      <w:rFonts w:ascii="宋体" w:cs="Times New Roman"/>
      <w:kern w:val="2"/>
      <w:sz w:val="21"/>
    </w:rPr>
  </w:style>
  <w:style w:type="character" w:customStyle="1" w:styleId="34">
    <w:name w:val="日期 字符"/>
    <w:basedOn w:val="16"/>
    <w:link w:val="7"/>
    <w:qFormat/>
    <w:uiPriority w:val="99"/>
    <w:rPr>
      <w:rFonts w:cs="Times New Roman"/>
      <w:kern w:val="2"/>
      <w:sz w:val="21"/>
      <w:szCs w:val="24"/>
    </w:rPr>
  </w:style>
  <w:style w:type="character" w:customStyle="1" w:styleId="35">
    <w:name w:val="批注框文本 字符"/>
    <w:basedOn w:val="16"/>
    <w:link w:val="8"/>
    <w:uiPriority w:val="0"/>
    <w:rPr>
      <w:rFonts w:cs="Times New Roman"/>
      <w:kern w:val="2"/>
      <w:sz w:val="18"/>
      <w:szCs w:val="18"/>
    </w:rPr>
  </w:style>
  <w:style w:type="character" w:customStyle="1" w:styleId="36">
    <w:name w:val="批注主题 字符"/>
    <w:basedOn w:val="32"/>
    <w:link w:val="13"/>
    <w:uiPriority w:val="0"/>
    <w:rPr>
      <w:rFonts w:cs="Times New Roman"/>
      <w:b/>
      <w:bCs/>
      <w:kern w:val="2"/>
      <w:sz w:val="21"/>
      <w:szCs w:val="24"/>
    </w:rPr>
  </w:style>
  <w:style w:type="character" w:customStyle="1" w:styleId="37">
    <w:name w:val="批注框文本 Char"/>
    <w:semiHidden/>
    <w:uiPriority w:val="99"/>
    <w:rPr>
      <w:rFonts w:ascii="Calibri" w:hAnsi="Calibri"/>
      <w:kern w:val="2"/>
      <w:sz w:val="18"/>
      <w:szCs w:val="18"/>
    </w:rPr>
  </w:style>
  <w:style w:type="character" w:customStyle="1" w:styleId="38">
    <w:name w:val="段 Char"/>
    <w:link w:val="39"/>
    <w:qFormat/>
    <w:uiPriority w:val="0"/>
    <w:rPr>
      <w:rFonts w:ascii="宋体"/>
      <w:sz w:val="21"/>
    </w:rPr>
  </w:style>
  <w:style w:type="paragraph" w:customStyle="1" w:styleId="39">
    <w:name w:val="段"/>
    <w:link w:val="38"/>
    <w:qFormat/>
    <w:uiPriority w:val="0"/>
    <w:pPr>
      <w:tabs>
        <w:tab w:val="center" w:pos="4201"/>
        <w:tab w:val="right" w:leader="dot" w:pos="9298"/>
      </w:tabs>
      <w:autoSpaceDE w:val="0"/>
      <w:autoSpaceDN w:val="0"/>
      <w:ind w:firstLine="420" w:firstLineChars="200"/>
      <w:jc w:val="both"/>
    </w:pPr>
    <w:rPr>
      <w:rFonts w:ascii="宋体" w:hAnsi="Calibri" w:eastAsia="宋体" w:cs="Calibri"/>
      <w:sz w:val="21"/>
      <w:lang w:val="en-US" w:eastAsia="zh-CN" w:bidi="ar-SA"/>
    </w:rPr>
  </w:style>
  <w:style w:type="character" w:customStyle="1" w:styleId="40">
    <w:name w:val="short_text"/>
    <w:qFormat/>
    <w:uiPriority w:val="0"/>
  </w:style>
  <w:style w:type="paragraph" w:customStyle="1" w:styleId="41">
    <w:name w:val="一级条标题"/>
    <w:next w:val="39"/>
    <w:qFormat/>
    <w:uiPriority w:val="0"/>
    <w:pPr>
      <w:spacing w:beforeLines="50" w:afterLines="50"/>
      <w:outlineLvl w:val="2"/>
    </w:pPr>
    <w:rPr>
      <w:rFonts w:ascii="黑体" w:hAnsi="Calibri" w:eastAsia="黑体" w:cs="Times New Roman"/>
      <w:sz w:val="21"/>
      <w:szCs w:val="21"/>
      <w:lang w:val="en-US" w:eastAsia="zh-CN" w:bidi="ar-SA"/>
    </w:rPr>
  </w:style>
  <w:style w:type="paragraph" w:customStyle="1" w:styleId="42">
    <w:name w:val="列出段落1"/>
    <w:basedOn w:val="1"/>
    <w:qFormat/>
    <w:uiPriority w:val="34"/>
    <w:pPr>
      <w:spacing w:line="240" w:lineRule="auto"/>
      <w:ind w:firstLine="420"/>
    </w:pPr>
    <w:rPr>
      <w:rFonts w:ascii="Calibri" w:hAnsi="Calibri"/>
      <w:szCs w:val="22"/>
    </w:rPr>
  </w:style>
  <w:style w:type="paragraph" w:customStyle="1" w:styleId="43">
    <w:name w:val="字母编号列项（一级）"/>
    <w:qFormat/>
    <w:uiPriority w:val="0"/>
    <w:pPr>
      <w:numPr>
        <w:ilvl w:val="0"/>
        <w:numId w:val="1"/>
      </w:numPr>
      <w:tabs>
        <w:tab w:val="left" w:pos="840"/>
      </w:tabs>
      <w:jc w:val="both"/>
    </w:pPr>
    <w:rPr>
      <w:rFonts w:ascii="宋体" w:hAnsi="Calibri" w:eastAsia="宋体" w:cs="Times New Roman"/>
      <w:sz w:val="21"/>
      <w:lang w:val="en-US" w:eastAsia="zh-CN" w:bidi="ar-SA"/>
    </w:rPr>
  </w:style>
  <w:style w:type="paragraph" w:customStyle="1" w:styleId="44">
    <w:name w:val="编号列项（三级）"/>
    <w:qFormat/>
    <w:uiPriority w:val="0"/>
    <w:pPr>
      <w:numPr>
        <w:ilvl w:val="2"/>
        <w:numId w:val="1"/>
      </w:numPr>
      <w:tabs>
        <w:tab w:val="left" w:pos="0"/>
      </w:tabs>
    </w:pPr>
    <w:rPr>
      <w:rFonts w:ascii="宋体" w:hAnsi="Calibri" w:eastAsia="宋体" w:cs="Times New Roman"/>
      <w:sz w:val="21"/>
      <w:lang w:val="en-US" w:eastAsia="zh-CN" w:bidi="ar-SA"/>
    </w:rPr>
  </w:style>
  <w:style w:type="paragraph" w:customStyle="1" w:styleId="45">
    <w:name w:val="Revision"/>
    <w:semiHidden/>
    <w:uiPriority w:val="99"/>
    <w:rPr>
      <w:rFonts w:ascii="Calibri" w:hAnsi="Calibri" w:eastAsia="宋体" w:cs="Times New Roman"/>
      <w:kern w:val="2"/>
      <w:sz w:val="21"/>
      <w:szCs w:val="24"/>
      <w:lang w:val="en-US" w:eastAsia="zh-CN" w:bidi="ar-SA"/>
    </w:rPr>
  </w:style>
  <w:style w:type="paragraph" w:customStyle="1" w:styleId="46">
    <w:name w:val="四级条标题"/>
    <w:basedOn w:val="47"/>
    <w:next w:val="39"/>
    <w:qFormat/>
    <w:uiPriority w:val="0"/>
    <w:pPr>
      <w:outlineLvl w:val="5"/>
    </w:pPr>
  </w:style>
  <w:style w:type="paragraph" w:customStyle="1" w:styleId="47">
    <w:name w:val="三级条标题"/>
    <w:basedOn w:val="48"/>
    <w:next w:val="39"/>
    <w:qFormat/>
    <w:uiPriority w:val="0"/>
    <w:pPr>
      <w:ind w:left="0"/>
      <w:outlineLvl w:val="4"/>
    </w:pPr>
  </w:style>
  <w:style w:type="paragraph" w:customStyle="1" w:styleId="48">
    <w:name w:val="二级条标题"/>
    <w:basedOn w:val="41"/>
    <w:next w:val="39"/>
    <w:qFormat/>
    <w:uiPriority w:val="0"/>
    <w:pPr>
      <w:spacing w:before="50" w:after="50"/>
      <w:ind w:left="426"/>
      <w:outlineLvl w:val="3"/>
    </w:pPr>
  </w:style>
  <w:style w:type="paragraph" w:customStyle="1" w:styleId="49">
    <w:name w:val="五级条标题"/>
    <w:basedOn w:val="46"/>
    <w:next w:val="39"/>
    <w:qFormat/>
    <w:uiPriority w:val="0"/>
    <w:pPr>
      <w:outlineLvl w:val="6"/>
    </w:pPr>
  </w:style>
  <w:style w:type="paragraph" w:customStyle="1" w:styleId="50">
    <w:name w:val="二级无"/>
    <w:basedOn w:val="1"/>
    <w:uiPriority w:val="0"/>
    <w:pPr>
      <w:widowControl/>
      <w:numPr>
        <w:ilvl w:val="2"/>
        <w:numId w:val="2"/>
      </w:numPr>
      <w:tabs>
        <w:tab w:val="left" w:pos="720"/>
      </w:tabs>
      <w:spacing w:line="240" w:lineRule="auto"/>
      <w:ind w:firstLineChars="0"/>
      <w:jc w:val="left"/>
      <w:outlineLvl w:val="3"/>
    </w:pPr>
    <w:rPr>
      <w:rFonts w:ascii="宋体" w:hAnsi="Calibri"/>
      <w:kern w:val="0"/>
      <w:szCs w:val="21"/>
    </w:rPr>
  </w:style>
  <w:style w:type="paragraph" w:customStyle="1" w:styleId="51">
    <w:name w:val="数字编号列项（二级）"/>
    <w:qFormat/>
    <w:uiPriority w:val="0"/>
    <w:pPr>
      <w:numPr>
        <w:ilvl w:val="1"/>
        <w:numId w:val="1"/>
      </w:numPr>
      <w:tabs>
        <w:tab w:val="left" w:pos="1260"/>
      </w:tabs>
      <w:jc w:val="both"/>
    </w:pPr>
    <w:rPr>
      <w:rFonts w:ascii="宋体" w:hAnsi="Calibri" w:eastAsia="宋体" w:cs="Times New Roman"/>
      <w:sz w:val="21"/>
      <w:lang w:val="en-US" w:eastAsia="zh-CN" w:bidi="ar-SA"/>
    </w:rPr>
  </w:style>
  <w:style w:type="paragraph" w:customStyle="1" w:styleId="52">
    <w:name w:val="章标题"/>
    <w:next w:val="39"/>
    <w:qFormat/>
    <w:uiPriority w:val="0"/>
    <w:pPr>
      <w:spacing w:beforeLines="100" w:afterLines="100"/>
      <w:jc w:val="both"/>
      <w:outlineLvl w:val="1"/>
    </w:pPr>
    <w:rPr>
      <w:rFonts w:ascii="黑体" w:hAnsi="Calibri" w:eastAsia="黑体" w:cs="Times New Roman"/>
      <w:sz w:val="21"/>
      <w:lang w:val="en-US" w:eastAsia="zh-CN" w:bidi="ar-SA"/>
    </w:rPr>
  </w:style>
  <w:style w:type="paragraph" w:customStyle="1" w:styleId="53">
    <w:name w:val="数字编号列项"/>
    <w:basedOn w:val="1"/>
    <w:uiPriority w:val="0"/>
    <w:pPr>
      <w:numPr>
        <w:ilvl w:val="0"/>
        <w:numId w:val="3"/>
      </w:numPr>
      <w:tabs>
        <w:tab w:val="left" w:pos="840"/>
      </w:tabs>
      <w:spacing w:line="240" w:lineRule="auto"/>
      <w:ind w:firstLineChars="0"/>
    </w:pPr>
    <w:rPr>
      <w:rFonts w:ascii="Calibri" w:hAnsi="Calibri"/>
    </w:rPr>
  </w:style>
  <w:style w:type="paragraph" w:customStyle="1" w:styleId="54">
    <w:name w:val="标准文件_二级无标题"/>
    <w:basedOn w:val="55"/>
    <w:qFormat/>
    <w:uiPriority w:val="0"/>
    <w:pPr>
      <w:tabs>
        <w:tab w:val="left" w:pos="1080"/>
      </w:tabs>
      <w:spacing w:before="0" w:beforeLines="0" w:after="0" w:afterLines="0"/>
      <w:outlineLvl w:val="9"/>
    </w:pPr>
    <w:rPr>
      <w:rFonts w:ascii="宋体" w:eastAsia="宋体"/>
    </w:rPr>
  </w:style>
  <w:style w:type="paragraph" w:customStyle="1" w:styleId="55">
    <w:name w:val="标准文件_二级条标题"/>
    <w:next w:val="56"/>
    <w:qFormat/>
    <w:uiPriority w:val="0"/>
    <w:pPr>
      <w:widowControl w:val="0"/>
      <w:numPr>
        <w:ilvl w:val="3"/>
        <w:numId w:val="4"/>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5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字母编号列项（一级）"/>
    <w:qFormat/>
    <w:uiPriority w:val="0"/>
    <w:pPr>
      <w:numPr>
        <w:ilvl w:val="0"/>
        <w:numId w:val="1"/>
      </w:numPr>
      <w:tabs>
        <w:tab w:val="left" w:pos="840"/>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2950</Words>
  <Characters>16816</Characters>
  <Lines>140</Lines>
  <Paragraphs>39</Paragraphs>
  <TotalTime>15</TotalTime>
  <ScaleCrop>false</ScaleCrop>
  <LinksUpToDate>false</LinksUpToDate>
  <CharactersWithSpaces>19727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2021-02-22T13:52:00Z</dcterms:created>
  <dc:creator>李云伟</dc:creator>
  <cp:lastModifiedBy>李云伟</cp:lastModifiedBy>
  <dcterms:modified xsi:type="dcterms:W3CDTF">2022-04-29T10:00:13Z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