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Lines="0"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2023年度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重点行业能效“领跑者”企业名单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煤制焦炭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"/>
        <w:gridCol w:w="4796"/>
        <w:gridCol w:w="28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单位产品综合能耗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kg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ce/t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河南中鸿集团煤化有限公司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99.22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宁波钢铁有限公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司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100.14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安徽首矿大昌金属材料有限公司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100.56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山东荣信集团有限公司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102.77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山西沁新能源集团股份有限公司特种焦制备分公司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103.63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甲醇行业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795"/>
        <w:gridCol w:w="27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（kgce/t）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</w:rPr>
              <w:t>煤制甲醇（以烟煤为原料）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江西心连心化学工业有限公司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1269.26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安徽晋煤中能化工股份有限公司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1326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.00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br w:type="page"/>
      </w:r>
    </w:p>
    <w:p>
      <w:pPr>
        <w:ind w:left="0" w:leftChars="0"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煤制烯烃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795"/>
        <w:gridCol w:w="27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（kgce/t）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主产品结构为乙烯和丙烯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宁夏宝丰能源集团股份有限公司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2234.00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国能榆林化工有限公司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2601.00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3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国能包头煤化工有限责任公司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2626.10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中安联合煤化有限责任公司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2747.00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烧碱行业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783"/>
        <w:gridCol w:w="27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（kgce/t）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</w:rPr>
              <w:t>离子膜法液碱≥30%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青岛海湾化学股份有限公司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  <w:t>286.79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万华化学（宁波）氯碱有限公司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287.71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浙江镇洋发展股份有限公司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287.92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天能化工有限公司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291.37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纯碱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783"/>
        <w:gridCol w:w="27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（kgce/t）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轻质纯碱（氨碱法）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唐山三友化工股份有限公司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287.84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轻质纯碱（联碱法）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lang w:val="en-US" w:eastAsia="zh-CN"/>
              </w:rPr>
              <w:t>江苏华昌化工股份有限公司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134.48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none" w:color="auto"/>
                <w:lang w:val="en-US" w:eastAsia="zh-CN"/>
              </w:rPr>
              <w:t>中盐安徽红四方股份有限公司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141.79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轻质纯碱（天然碱法-蒸发法）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河南中源化学股份有限公司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334.86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重质纯碱（氨碱法）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唐山三友化工股份有限公司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321.83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乙烯行业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806"/>
        <w:gridCol w:w="27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（kgoe/t）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  <w:t>以石脑油为原料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恒力石化（大连）化工有限公司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544.27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中国石油天然气股份有限公司独山子石化分公司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581.38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中国石油化工股份有限公司镇海炼化分公司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582.47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  <w:t>以乙烷为原料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连云港石化有限公司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341.98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对二甲苯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783"/>
        <w:gridCol w:w="27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（kg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o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e/t）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</w:rPr>
              <w:t>恒力石化（大连）炼化有限公司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00.14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</w:rPr>
              <w:t>福建联合石油化工有限公司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297.10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</w:rPr>
              <w:t>中国石化海南炼油化工有限公司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327.68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乙二醇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806"/>
        <w:gridCol w:w="27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（kg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e/t）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  <w:t>以乙烯为原料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连云港石化有限公司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314.07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恒力石化（大连）化工有限公司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321.40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2"/>
                <w:sz w:val="32"/>
                <w:szCs w:val="32"/>
                <w:highlight w:val="none"/>
                <w:lang w:val="en-US" w:eastAsia="zh-CN"/>
              </w:rPr>
              <w:t>以合成气为原料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河南龙宇煤化工有限公司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775.73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黄磷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739"/>
        <w:gridCol w:w="28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（kg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e/t）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</w:rPr>
              <w:t>湖北兴发化工集团股份有限公司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2190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合成氨行业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795"/>
        <w:gridCol w:w="27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kgce/t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</w:rPr>
              <w:t>以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粉煤（包含无烟粉煤、烟煤）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</w:rPr>
              <w:t>为原料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安阳中盈化肥有限公司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1135.23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河南心连心化学工业集团股份有限公司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1175.40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江苏华昌化工股份有限公司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1183.47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注：安阳中盈化肥有限公司的空分等主设备使用电驱动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尿素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795"/>
        <w:gridCol w:w="27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kgce/t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电动机驱动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河南心连心化学工业集团股份有限公司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99.68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汽轮机驱动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江西心连心化学工业有限公司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108.40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磷酸一铵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795"/>
        <w:gridCol w:w="27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kgce/t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传统法（粒状）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云南天安化工有限公司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201.00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云南三环中化化肥有限公司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204.52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传统法（粉状）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云南天安化工有限公司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205.00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磷酸二铵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795"/>
        <w:gridCol w:w="27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kgce/t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传统法（粒状）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云南三环中化化肥有限公司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202.42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云南天安化工有限公司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219.00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钛白粉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795"/>
        <w:gridCol w:w="27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kgce/t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硫酸法金红石型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山东道恩钛业股份有限公司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856.70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聚氯乙烯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795"/>
        <w:gridCol w:w="27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kgce/t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</w:rPr>
              <w:t>乙烯法（通用型）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天津渤化化工发展有限公司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315.83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电石法（通用型）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唐山三友氯碱有限责任公司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144.39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新疆圣雄氯碱有限公司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151.91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新疆中泰化学阜康能源有限公司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167.61</w:t>
            </w:r>
          </w:p>
        </w:tc>
      </w:tr>
    </w:tbl>
    <w:p>
      <w:pPr>
        <w:pStyle w:val="2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精对苯二甲酸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772"/>
        <w:gridCol w:w="28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（kg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e/t）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</w:rPr>
              <w:t>恒力石化（大连）有限公司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25.99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</w:rPr>
              <w:t>江苏虹港石化有限公司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36.80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子午线轮胎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750"/>
        <w:gridCol w:w="28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（kg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e/t）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32"/>
                <w:szCs w:val="32"/>
                <w:highlight w:val="none"/>
              </w:rPr>
              <w:t>全钢子午线轮胎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</w:rPr>
              <w:t>中策橡胶集团股份有限公司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127.23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</w:rPr>
              <w:t>贵州轮胎股份有限公司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172.54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半钢子午线轮胎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</w:rPr>
              <w:t>中策橡胶集团股份有限公司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204.11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</w:rPr>
              <w:t>赛轮（东营）轮胎股份有限公司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248.23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</w:rPr>
              <w:t>浦林成山（山东）轮胎有限公司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250.30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钢铁行业</w:t>
      </w:r>
    </w:p>
    <w:tbl>
      <w:tblPr>
        <w:tblStyle w:val="7"/>
        <w:tblW w:w="83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3"/>
        <w:gridCol w:w="4763"/>
        <w:gridCol w:w="28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单位产品工序能耗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kgce/t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烧结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</w:rPr>
              <w:t>工序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首钢京唐钢铁联合有限责任公司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39.90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转炉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32"/>
                <w:szCs w:val="32"/>
                <w:highlight w:val="none"/>
              </w:rPr>
              <w:t>工序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常熟市龙腾特种钢有限公司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-32.06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宝钢湛江钢铁有限公司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-31.32</w:t>
            </w:r>
          </w:p>
        </w:tc>
      </w:tr>
    </w:tbl>
    <w:p>
      <w:pPr>
        <w:pStyle w:val="2"/>
        <w:rPr>
          <w:rFonts w:hint="default" w:ascii="Times New Roman" w:hAnsi="Times New Roman" w:eastAsia="楷体" w:cs="Times New Roman"/>
          <w:b/>
          <w:bCs/>
          <w:color w:val="auto"/>
          <w:kern w:val="2"/>
          <w:sz w:val="32"/>
          <w:szCs w:val="32"/>
          <w:highlight w:val="none"/>
          <w:lang w:val="en-US" w:eastAsia="en-US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铜冶炼行业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895"/>
        <w:gridCol w:w="26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kgce/t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32"/>
                <w:szCs w:val="32"/>
                <w:highlight w:val="none"/>
              </w:rPr>
              <w:t>铜冶炼工艺（铜精矿—阴极铜）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  <w:t>山东恒邦冶炼股份有限公司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197.08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铅冶炼行业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772"/>
        <w:gridCol w:w="28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kgce/t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铅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冶炼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工艺（铅精矿-铅锭）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>河南金利金铅集团有限公司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252.91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粗铅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工艺（铅精矿-粗铅）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河南金利金铅集团有限公司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198.19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云南驰宏锌锗股份有限公司会泽治炼分公司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212.18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废电池-再生铅工艺（废电池-再生铅）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江苏新春兴再生资源有限责任公司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98.31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冶炼行业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861"/>
        <w:gridCol w:w="27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kgce/t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32"/>
                <w:szCs w:val="32"/>
                <w:highlight w:val="none"/>
              </w:rPr>
              <w:t>电锌锌锭（含渣处理工艺）（精矿-电锌锌锭）（湿法炼锌工艺）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云南驰宏资源综合利用有限公司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859.64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firstLine="642" w:firstLineChars="200"/>
        <w:jc w:val="both"/>
        <w:outlineLvl w:val="1"/>
        <w:rPr>
          <w:rFonts w:hint="default" w:ascii="Times New Roman" w:hAnsi="Times New Roman" w:eastAsia="楷体" w:cs="Times New Roman"/>
          <w:b/>
          <w:bCs/>
          <w:color w:val="auto"/>
          <w:kern w:val="2"/>
          <w:sz w:val="32"/>
          <w:szCs w:val="32"/>
          <w:highlight w:val="none"/>
          <w:lang w:val="en-US" w:eastAsia="en-US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电解铝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"/>
        <w:gridCol w:w="4785"/>
        <w:gridCol w:w="28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铝液交流电耗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kWh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/t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广西华磊新材料有限公司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12744.46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氧化铝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750"/>
        <w:gridCol w:w="28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（kg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e/t）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拜耳法工艺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山东宏拓实业有限公司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300.78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</w:rPr>
              <w:t>开曼铝业（三门峡）有限公司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309.08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联合法工艺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u w:val="none"/>
              </w:rPr>
              <w:t>中铝中州铝业有限公司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488.92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水泥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熟料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ab/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"/>
        <w:gridCol w:w="4818"/>
        <w:gridCol w:w="27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熟料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单位产品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综合能耗（kgce/t）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高替代燃料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华新水泥（道县）有限公司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78.18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华新水泥（黄石）有限公司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79.28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少量替代燃料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吴忠赛马新型建材有限公司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89.66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冀东海天水泥闻喜有限责任公司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90.23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平板玻璃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4823"/>
        <w:gridCol w:w="27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（kg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e/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重量箱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江苏华东耀皮玻璃有限公司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13.6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注：汽车用平板玻璃，修正系数为1.6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建筑陶瓷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895"/>
        <w:gridCol w:w="26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kgce/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陶瓷砖（吸水率≤0.5%）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  <w:t>四川三帝新材料有限公司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2.80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卫生陶瓷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895"/>
        <w:gridCol w:w="26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kgce/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t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吸水率&gt;0.3%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漳州万晖洁具有限公司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282.28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卫生纸原纸、纸巾原纸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895"/>
        <w:gridCol w:w="26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kgce/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t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以木浆为原料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4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恒安（中国）纸业有限公司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292.73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棉、化纤及混纺机织物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4822"/>
        <w:gridCol w:w="27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（kg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e/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百米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亚东（常州）科技有限公司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26.11</w:t>
            </w:r>
          </w:p>
        </w:tc>
      </w:tr>
    </w:tbl>
    <w:p>
      <w:pPr>
        <w:ind w:firstLine="0" w:firstLineChars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针织物、纱线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行业</w:t>
      </w:r>
    </w:p>
    <w:tbl>
      <w:tblPr>
        <w:tblStyle w:val="7"/>
        <w:tblW w:w="83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4822"/>
        <w:gridCol w:w="27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企业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单位产品能耗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（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tce/t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福建福田纺织印染科技有限公司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0.70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通亿（泉州）轻工有限公司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0.74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常州旭荣针织印染有限公司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0.79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福建省宏港纺织科技有限公司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0.85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</w:rPr>
              <w:t>福建凤竹纺织科技股份有限公司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0.92</w:t>
            </w:r>
          </w:p>
        </w:tc>
      </w:tr>
    </w:tbl>
    <w:p>
      <w:pPr>
        <w:pStyle w:val="2"/>
        <w:ind w:firstLine="0" w:firstLineChars="0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ind w:firstLine="0" w:firstLineChars="0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0" w:firstLineChars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YTU2MTQ5NTBmYThlODNhMjQ3MDc3OThlNjBjOTQifQ=="/>
  </w:docVars>
  <w:rsids>
    <w:rsidRoot w:val="00000000"/>
    <w:rsid w:val="015A39F4"/>
    <w:rsid w:val="076E9845"/>
    <w:rsid w:val="077852D8"/>
    <w:rsid w:val="095A549E"/>
    <w:rsid w:val="0A9629D7"/>
    <w:rsid w:val="0DA27AF9"/>
    <w:rsid w:val="0DBD080B"/>
    <w:rsid w:val="0E0831D3"/>
    <w:rsid w:val="0E304765"/>
    <w:rsid w:val="0EC6556F"/>
    <w:rsid w:val="10792C99"/>
    <w:rsid w:val="12682271"/>
    <w:rsid w:val="14E3071C"/>
    <w:rsid w:val="16146EB2"/>
    <w:rsid w:val="1BF059DB"/>
    <w:rsid w:val="1CBD1A0C"/>
    <w:rsid w:val="1FB3240F"/>
    <w:rsid w:val="22A0154C"/>
    <w:rsid w:val="23017522"/>
    <w:rsid w:val="250E381F"/>
    <w:rsid w:val="2DFC7553"/>
    <w:rsid w:val="2E225347"/>
    <w:rsid w:val="2F531A22"/>
    <w:rsid w:val="32436C87"/>
    <w:rsid w:val="32FD675A"/>
    <w:rsid w:val="33201037"/>
    <w:rsid w:val="341A1AAB"/>
    <w:rsid w:val="36D27309"/>
    <w:rsid w:val="39FFA13F"/>
    <w:rsid w:val="3A4D23FA"/>
    <w:rsid w:val="3D530A3C"/>
    <w:rsid w:val="3EE3D8D8"/>
    <w:rsid w:val="40813ABD"/>
    <w:rsid w:val="421A46AD"/>
    <w:rsid w:val="42705344"/>
    <w:rsid w:val="44886ECF"/>
    <w:rsid w:val="45583A46"/>
    <w:rsid w:val="462131D7"/>
    <w:rsid w:val="48431A2E"/>
    <w:rsid w:val="4A591AA5"/>
    <w:rsid w:val="4CC32CB3"/>
    <w:rsid w:val="4E0C68C2"/>
    <w:rsid w:val="512C08E4"/>
    <w:rsid w:val="51674B1E"/>
    <w:rsid w:val="52EF9F29"/>
    <w:rsid w:val="548C3A4F"/>
    <w:rsid w:val="59AB6D1D"/>
    <w:rsid w:val="5BBD2284"/>
    <w:rsid w:val="5BBF09C2"/>
    <w:rsid w:val="5C7BD315"/>
    <w:rsid w:val="5CD83D93"/>
    <w:rsid w:val="5DC94B9C"/>
    <w:rsid w:val="5DF95FD6"/>
    <w:rsid w:val="5EDA2DEF"/>
    <w:rsid w:val="5FA327F9"/>
    <w:rsid w:val="636965E6"/>
    <w:rsid w:val="64A15EBB"/>
    <w:rsid w:val="654E26B3"/>
    <w:rsid w:val="677D020E"/>
    <w:rsid w:val="6A5F65F6"/>
    <w:rsid w:val="6BE51849"/>
    <w:rsid w:val="6FBF537F"/>
    <w:rsid w:val="6FED73C0"/>
    <w:rsid w:val="6FFCDCFD"/>
    <w:rsid w:val="73B96FDE"/>
    <w:rsid w:val="75FFD669"/>
    <w:rsid w:val="79050972"/>
    <w:rsid w:val="7B779A85"/>
    <w:rsid w:val="7C6B5EFC"/>
    <w:rsid w:val="7F5C50C6"/>
    <w:rsid w:val="7F7F5E58"/>
    <w:rsid w:val="7FF119F1"/>
    <w:rsid w:val="7FFBCB78"/>
    <w:rsid w:val="BF7ECDA9"/>
    <w:rsid w:val="BFFBEA4C"/>
    <w:rsid w:val="CFE7742C"/>
    <w:rsid w:val="D137066F"/>
    <w:rsid w:val="D5FB878E"/>
    <w:rsid w:val="E7F90B11"/>
    <w:rsid w:val="F74FC2D3"/>
    <w:rsid w:val="FD5ECD3F"/>
    <w:rsid w:val="FDDD7207"/>
    <w:rsid w:val="FFBBB3BF"/>
    <w:rsid w:val="FFF989BD"/>
    <w:rsid w:val="FFFF2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/>
      <w:snapToGrid/>
      <w:spacing w:line="360" w:lineRule="auto"/>
      <w:ind w:firstLine="720" w:firstLineChars="200"/>
      <w:jc w:val="both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spacing w:before="0" w:beforeAutospacing="0" w:after="0" w:afterAutospacing="0" w:line="360" w:lineRule="auto"/>
      <w:ind w:firstLine="720" w:firstLineChars="200"/>
      <w:jc w:val="both"/>
      <w:outlineLvl w:val="0"/>
    </w:pPr>
    <w:rPr>
      <w:rFonts w:hint="eastAsia" w:ascii="Times New Roman" w:hAnsi="Times New Roman" w:eastAsia="黑体" w:cs="Times New Roman"/>
      <w:szCs w:val="32"/>
      <w:lang w:bidi="ar"/>
    </w:rPr>
  </w:style>
  <w:style w:type="paragraph" w:styleId="2">
    <w:name w:val="heading 2"/>
    <w:basedOn w:val="1"/>
    <w:next w:val="1"/>
    <w:link w:val="9"/>
    <w:unhideWhenUsed/>
    <w:qFormat/>
    <w:uiPriority w:val="0"/>
    <w:pPr>
      <w:spacing w:line="360" w:lineRule="auto"/>
      <w:ind w:left="0" w:firstLine="720" w:firstLineChars="200"/>
      <w:jc w:val="both"/>
      <w:outlineLvl w:val="1"/>
    </w:pPr>
    <w:rPr>
      <w:rFonts w:eastAsia="楷体" w:cs="Times New Roman"/>
      <w:b/>
      <w:bCs/>
      <w:lang w:eastAsia="en-US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0" w:beforeLines="0" w:beforeAutospacing="0" w:after="0" w:afterLines="0" w:afterAutospacing="0" w:line="360" w:lineRule="auto"/>
      <w:ind w:firstLine="640" w:firstLineChars="200"/>
      <w:outlineLvl w:val="2"/>
    </w:pPr>
    <w:rPr>
      <w:b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customStyle="1" w:styleId="9">
    <w:name w:val="标题 2 字符"/>
    <w:basedOn w:val="8"/>
    <w:link w:val="2"/>
    <w:qFormat/>
    <w:uiPriority w:val="9"/>
    <w:rPr>
      <w:rFonts w:ascii="Times New Roman" w:hAnsi="Times New Roman" w:eastAsia="楷体" w:cs="Times New Roman"/>
      <w:b/>
      <w:kern w:val="2"/>
      <w:sz w:val="30"/>
      <w:szCs w:val="32"/>
    </w:rPr>
  </w:style>
  <w:style w:type="character" w:customStyle="1" w:styleId="10">
    <w:name w:val="标题 3 Char"/>
    <w:link w:val="4"/>
    <w:qFormat/>
    <w:uiPriority w:val="0"/>
    <w:rPr>
      <w:rFonts w:ascii="Times New Roman" w:hAnsi="Times New Roman" w:eastAsia="仿宋_GB2312"/>
      <w:b/>
      <w:sz w:val="32"/>
      <w:szCs w:val="32"/>
    </w:rPr>
  </w:style>
  <w:style w:type="character" w:customStyle="1" w:styleId="11">
    <w:name w:val="标题 1 字符"/>
    <w:link w:val="3"/>
    <w:qFormat/>
    <w:uiPriority w:val="0"/>
    <w:rPr>
      <w:rFonts w:ascii="Times New Roman" w:hAnsi="Times New Roman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348</Characters>
  <Lines>0</Lines>
  <Paragraphs>0</Paragraphs>
  <TotalTime>0</TotalTime>
  <ScaleCrop>false</ScaleCrop>
  <LinksUpToDate>false</LinksUpToDate>
  <CharactersWithSpaces>385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2021-07-17T08:58:00Z</dcterms:created>
  <dc:creator>立华</dc:creator>
  <cp:lastModifiedBy>kylin</cp:lastModifiedBy>
  <cp:lastPrinted>2022-01-02T11:35:00Z</cp:lastPrinted>
  <dcterms:modified xsi:type="dcterms:W3CDTF">2024-07-05T09:09:21Z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6567AC7E1DE84064B42ED5D1FB539D3A</vt:lpwstr>
  </property>
</Properties>
</file>