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pPr>
      <w:bookmarkStart w:id="0" w:name="_Hlk64896309"/>
    </w:p>
    <w:p>
      <w:pPr>
        <w:pStyle w:val="16"/>
        <w:tabs>
          <w:tab w:val="left" w:pos="2742"/>
        </w:tabs>
        <w:spacing w:line="480" w:lineRule="auto"/>
        <w:rPr>
          <w:sz w:val="44"/>
          <w:szCs w:val="44"/>
        </w:rPr>
      </w:pPr>
      <w:r>
        <w:rPr>
          <w:sz w:val="44"/>
          <w:szCs w:val="44"/>
        </w:rPr>
        <w:tab/>
      </w:r>
    </w:p>
    <w:p>
      <w:pPr>
        <w:pStyle w:val="16"/>
        <w:tabs>
          <w:tab w:val="left" w:pos="2742"/>
        </w:tabs>
        <w:spacing w:line="480" w:lineRule="auto"/>
        <w:rPr>
          <w:sz w:val="44"/>
          <w:szCs w:val="44"/>
        </w:rPr>
      </w:pPr>
    </w:p>
    <w:p>
      <w:pPr>
        <w:pStyle w:val="16"/>
        <w:spacing w:line="480" w:lineRule="auto"/>
        <w:rPr>
          <w:sz w:val="44"/>
          <w:szCs w:val="44"/>
        </w:rPr>
      </w:pPr>
    </w:p>
    <w:p>
      <w:pPr>
        <w:pStyle w:val="16"/>
        <w:spacing w:line="480" w:lineRule="auto"/>
        <w:jc w:val="center"/>
        <w:rPr>
          <w:rFonts w:hint="eastAsia" w:ascii="黑体" w:hAnsi="黑体" w:eastAsia="黑体"/>
          <w:sz w:val="52"/>
          <w:szCs w:val="52"/>
        </w:rPr>
      </w:pPr>
      <w:r>
        <w:rPr>
          <w:rFonts w:hint="eastAsia" w:ascii="黑体" w:hAnsi="黑体" w:eastAsia="黑体"/>
          <w:sz w:val="52"/>
          <w:szCs w:val="52"/>
        </w:rPr>
        <w:t>强制性国家标准</w:t>
      </w:r>
    </w:p>
    <w:p>
      <w:pPr>
        <w:pStyle w:val="16"/>
        <w:spacing w:line="480" w:lineRule="auto"/>
        <w:jc w:val="center"/>
        <w:rPr>
          <w:rFonts w:hint="eastAsia" w:ascii="黑体" w:hAnsi="黑体" w:eastAsia="黑体"/>
          <w:sz w:val="52"/>
          <w:szCs w:val="52"/>
        </w:rPr>
      </w:pPr>
      <w:r>
        <w:rPr>
          <w:rFonts w:hint="eastAsia" w:ascii="黑体" w:hAnsi="黑体" w:eastAsia="黑体"/>
          <w:sz w:val="52"/>
          <w:szCs w:val="52"/>
        </w:rPr>
        <w:t>《电动汽车能量消耗量限值</w:t>
      </w:r>
    </w:p>
    <w:p>
      <w:pPr>
        <w:pStyle w:val="16"/>
        <w:spacing w:line="480" w:lineRule="auto"/>
        <w:jc w:val="center"/>
        <w:rPr>
          <w:rFonts w:hint="eastAsia" w:ascii="黑体" w:hAnsi="黑体" w:eastAsia="黑体"/>
          <w:sz w:val="52"/>
          <w:szCs w:val="52"/>
        </w:rPr>
      </w:pPr>
      <w:r>
        <w:rPr>
          <w:rFonts w:hint="eastAsia" w:ascii="黑体" w:hAnsi="黑体" w:eastAsia="黑体"/>
          <w:sz w:val="52"/>
          <w:szCs w:val="52"/>
        </w:rPr>
        <w:t>第1部分：乘用车》</w:t>
      </w:r>
    </w:p>
    <w:p>
      <w:pPr>
        <w:pStyle w:val="16"/>
        <w:jc w:val="center"/>
        <w:rPr>
          <w:rFonts w:hint="eastAsia" w:ascii="黑体" w:hAnsi="黑体" w:eastAsia="黑体"/>
          <w:sz w:val="32"/>
          <w:szCs w:val="32"/>
        </w:rPr>
      </w:pPr>
      <w:r>
        <w:rPr>
          <w:rFonts w:hint="eastAsia" w:ascii="黑体" w:hAnsi="黑体" w:eastAsia="黑体"/>
          <w:sz w:val="32"/>
          <w:szCs w:val="32"/>
        </w:rPr>
        <w:t>（征求意见稿）</w:t>
      </w:r>
    </w:p>
    <w:p>
      <w:pPr>
        <w:pStyle w:val="16"/>
        <w:jc w:val="center"/>
        <w:rPr>
          <w:sz w:val="52"/>
          <w:szCs w:val="52"/>
        </w:rPr>
      </w:pPr>
      <w:r>
        <w:rPr>
          <w:rFonts w:hint="eastAsia" w:ascii="黑体" w:hAnsi="黑体" w:eastAsia="黑体"/>
          <w:sz w:val="52"/>
          <w:szCs w:val="52"/>
        </w:rPr>
        <w:t>编制说明</w:t>
      </w:r>
    </w:p>
    <w:p>
      <w:pPr>
        <w:pStyle w:val="16"/>
        <w:rPr>
          <w:sz w:val="52"/>
          <w:szCs w:val="52"/>
        </w:rPr>
      </w:pPr>
    </w:p>
    <w:p>
      <w:pPr>
        <w:pStyle w:val="16"/>
        <w:rPr>
          <w:sz w:val="52"/>
          <w:szCs w:val="52"/>
        </w:rPr>
      </w:pPr>
    </w:p>
    <w:p>
      <w:pPr>
        <w:pStyle w:val="16"/>
        <w:rPr>
          <w:sz w:val="52"/>
          <w:szCs w:val="52"/>
        </w:rPr>
      </w:pPr>
    </w:p>
    <w:p>
      <w:pPr>
        <w:pStyle w:val="16"/>
        <w:rPr>
          <w:sz w:val="52"/>
          <w:szCs w:val="52"/>
        </w:rPr>
      </w:pPr>
    </w:p>
    <w:p>
      <w:pPr>
        <w:pStyle w:val="16"/>
        <w:rPr>
          <w:sz w:val="52"/>
          <w:szCs w:val="52"/>
        </w:rPr>
      </w:pPr>
    </w:p>
    <w:p>
      <w:pPr>
        <w:ind w:firstLine="0" w:firstLineChars="0"/>
        <w:rPr>
          <w:rFonts w:hint="eastAsia" w:ascii="宋体" w:hAnsi="宋体"/>
          <w:sz w:val="28"/>
          <w:szCs w:val="28"/>
        </w:rPr>
      </w:pPr>
    </w:p>
    <w:p>
      <w:pPr>
        <w:ind w:firstLine="0" w:firstLineChars="0"/>
        <w:rPr>
          <w:rFonts w:hint="eastAsia" w:ascii="宋体" w:hAnsi="宋体"/>
          <w:sz w:val="28"/>
          <w:szCs w:val="28"/>
        </w:rPr>
      </w:pPr>
    </w:p>
    <w:p>
      <w:pPr>
        <w:ind w:firstLine="0" w:firstLineChars="0"/>
        <w:jc w:val="center"/>
        <w:rPr>
          <w:sz w:val="28"/>
          <w:szCs w:val="28"/>
        </w:rPr>
      </w:pPr>
      <w:bookmarkStart w:id="45" w:name="_GoBack"/>
      <w:bookmarkEnd w:id="45"/>
    </w:p>
    <w:p>
      <w:pPr>
        <w:pStyle w:val="16"/>
        <w:jc w:val="center"/>
        <w:outlineLvl w:val="0"/>
        <w:rPr>
          <w:rFonts w:ascii="Times New Roman" w:cs="Times New Roman"/>
          <w:bCs/>
          <w:sz w:val="28"/>
          <w:szCs w:val="28"/>
        </w:rPr>
      </w:pPr>
      <w:bookmarkStart w:id="1" w:name="_Toc64898470"/>
      <w:bookmarkStart w:id="2" w:name="_Toc6563"/>
      <w:bookmarkStart w:id="3" w:name="_Toc1833"/>
      <w:bookmarkStart w:id="4" w:name="_Toc36212234"/>
      <w:bookmarkStart w:id="5" w:name="_Toc4474"/>
      <w:r>
        <w:rPr>
          <w:rFonts w:hint="eastAsia" w:ascii="Times New Roman" w:cs="Times New Roman"/>
          <w:bCs/>
          <w:sz w:val="28"/>
          <w:szCs w:val="28"/>
        </w:rPr>
        <w:t>2024</w:t>
      </w:r>
      <w:r>
        <w:rPr>
          <w:rFonts w:ascii="Times New Roman" w:cs="Times New Roman"/>
          <w:bCs/>
          <w:sz w:val="28"/>
          <w:szCs w:val="28"/>
        </w:rPr>
        <w:t>年</w:t>
      </w:r>
      <w:r>
        <w:rPr>
          <w:rFonts w:hint="eastAsia" w:ascii="Times New Roman" w:cs="Times New Roman"/>
          <w:bCs/>
          <w:sz w:val="28"/>
          <w:szCs w:val="28"/>
        </w:rPr>
        <w:t>8</w:t>
      </w:r>
      <w:r>
        <w:rPr>
          <w:rFonts w:ascii="Times New Roman" w:cs="Times New Roman"/>
          <w:bCs/>
          <w:sz w:val="28"/>
          <w:szCs w:val="28"/>
        </w:rPr>
        <w:t>月</w:t>
      </w:r>
      <w:bookmarkEnd w:id="1"/>
      <w:bookmarkEnd w:id="2"/>
      <w:bookmarkEnd w:id="3"/>
      <w:bookmarkEnd w:id="4"/>
      <w:bookmarkEnd w:id="5"/>
      <w:bookmarkStart w:id="6" w:name="_Toc12015"/>
      <w:bookmarkStart w:id="7" w:name="_Toc29559"/>
      <w:bookmarkStart w:id="8" w:name="_Toc4065"/>
      <w:bookmarkStart w:id="9" w:name="_Toc30310"/>
      <w:bookmarkStart w:id="10" w:name="_Toc28417"/>
      <w:bookmarkStart w:id="11" w:name="_Toc28374"/>
      <w:bookmarkStart w:id="12" w:name="_Toc36212235"/>
    </w:p>
    <w:bookmarkEnd w:id="0"/>
    <w:p>
      <w:pPr>
        <w:pStyle w:val="16"/>
        <w:jc w:val="center"/>
        <w:outlineLvl w:val="0"/>
        <w:rPr>
          <w:rFonts w:ascii="Times New Roman" w:cs="Times New Roman"/>
          <w:bCs/>
          <w:sz w:val="28"/>
          <w:szCs w:val="28"/>
        </w:rPr>
      </w:pPr>
    </w:p>
    <w:p>
      <w:pPr>
        <w:pStyle w:val="16"/>
        <w:jc w:val="center"/>
        <w:outlineLvl w:val="0"/>
        <w:rPr>
          <w:rFonts w:hint="eastAsia" w:ascii="黑体" w:hAnsi="黑体" w:eastAsia="黑体"/>
        </w:rPr>
      </w:pPr>
    </w:p>
    <w:p>
      <w:pPr>
        <w:pStyle w:val="16"/>
        <w:spacing w:before="156" w:beforeLines="50" w:after="156" w:afterLines="50"/>
        <w:jc w:val="center"/>
        <w:outlineLvl w:val="0"/>
      </w:pPr>
      <w:bookmarkStart w:id="13" w:name="_Toc64898471"/>
      <w:bookmarkStart w:id="14" w:name="_Hlk64896338"/>
      <w:r>
        <w:rPr>
          <w:rFonts w:hint="eastAsia" w:ascii="黑体" w:hAnsi="黑体" w:eastAsia="黑体"/>
          <w:sz w:val="28"/>
          <w:szCs w:val="28"/>
        </w:rPr>
        <w:t>目</w:t>
      </w:r>
      <w:bookmarkStart w:id="15" w:name="BKML"/>
      <w:r>
        <w:rPr>
          <w:rFonts w:ascii="黑体" w:hAnsi="黑体" w:eastAsia="黑体"/>
          <w:sz w:val="28"/>
          <w:szCs w:val="28"/>
        </w:rPr>
        <w:t xml:space="preserve">  </w:t>
      </w:r>
      <w:r>
        <w:rPr>
          <w:rFonts w:hint="eastAsia" w:ascii="黑体" w:hAnsi="黑体" w:eastAsia="黑体"/>
          <w:sz w:val="28"/>
          <w:szCs w:val="28"/>
        </w:rPr>
        <w:t>次</w:t>
      </w:r>
      <w:bookmarkEnd w:id="6"/>
      <w:bookmarkEnd w:id="7"/>
      <w:bookmarkEnd w:id="8"/>
      <w:bookmarkEnd w:id="13"/>
      <w:bookmarkEnd w:id="15"/>
      <w:r>
        <w:fldChar w:fldCharType="begin"/>
      </w:r>
      <w:r>
        <w:instrText xml:space="preserve">TOC \o "1-2" \h \u </w:instrText>
      </w:r>
      <w:r>
        <w:fldChar w:fldCharType="separate"/>
      </w:r>
    </w:p>
    <w:p>
      <w:pPr>
        <w:pStyle w:val="6"/>
        <w:tabs>
          <w:tab w:val="right" w:leader="dot" w:pos="8296"/>
        </w:tabs>
        <w:spacing w:line="400" w:lineRule="exact"/>
        <w:ind w:firstLine="420"/>
        <w:jc w:val="right"/>
        <w:rPr>
          <w:rFonts w:eastAsia="黑体"/>
          <w:bCs/>
          <w:szCs w:val="21"/>
        </w:rPr>
      </w:pPr>
      <w:r>
        <w:fldChar w:fldCharType="begin"/>
      </w:r>
      <w:r>
        <w:instrText xml:space="preserve"> HYPERLINK \l "_Toc64898475" </w:instrText>
      </w:r>
      <w:r>
        <w:fldChar w:fldCharType="separate"/>
      </w:r>
      <w:r>
        <w:rPr>
          <w:rFonts w:eastAsia="黑体"/>
          <w:bCs/>
          <w:szCs w:val="21"/>
        </w:rPr>
        <w:t>一、工作简况</w:t>
      </w:r>
      <w:r>
        <w:rPr>
          <w:rFonts w:eastAsia="黑体"/>
          <w:bCs/>
          <w:szCs w:val="21"/>
        </w:rPr>
        <w:tab/>
      </w:r>
      <w:r>
        <w:rPr>
          <w:rFonts w:eastAsia="黑体"/>
          <w:bCs/>
          <w:szCs w:val="21"/>
        </w:rPr>
        <w:fldChar w:fldCharType="begin"/>
      </w:r>
      <w:r>
        <w:rPr>
          <w:rFonts w:eastAsia="黑体"/>
          <w:bCs/>
          <w:szCs w:val="21"/>
        </w:rPr>
        <w:instrText xml:space="preserve"> PAGEREF _Toc64898475 \h </w:instrText>
      </w:r>
      <w:r>
        <w:rPr>
          <w:rFonts w:eastAsia="黑体"/>
          <w:bCs/>
          <w:szCs w:val="21"/>
        </w:rPr>
        <w:fldChar w:fldCharType="separate"/>
      </w:r>
      <w:r>
        <w:rPr>
          <w:rFonts w:eastAsia="黑体"/>
          <w:bCs/>
          <w:szCs w:val="21"/>
        </w:rPr>
        <w:t>1</w:t>
      </w:r>
      <w:r>
        <w:rPr>
          <w:rFonts w:eastAsia="黑体"/>
          <w:bCs/>
          <w:szCs w:val="21"/>
        </w:rPr>
        <w:fldChar w:fldCharType="end"/>
      </w:r>
      <w:r>
        <w:rPr>
          <w:rFonts w:eastAsia="黑体"/>
          <w:bCs/>
          <w:szCs w:val="21"/>
        </w:rPr>
        <w:fldChar w:fldCharType="end"/>
      </w:r>
    </w:p>
    <w:p>
      <w:pPr>
        <w:pStyle w:val="6"/>
        <w:tabs>
          <w:tab w:val="right" w:leader="dot" w:pos="8296"/>
        </w:tabs>
        <w:spacing w:line="400" w:lineRule="exact"/>
        <w:ind w:firstLine="420"/>
        <w:jc w:val="right"/>
        <w:rPr>
          <w:rFonts w:eastAsia="黑体"/>
          <w:bCs/>
          <w:szCs w:val="21"/>
        </w:rPr>
      </w:pPr>
      <w:r>
        <w:fldChar w:fldCharType="begin"/>
      </w:r>
      <w:r>
        <w:instrText xml:space="preserve"> HYPERLINK \l "_Toc64898476" </w:instrText>
      </w:r>
      <w:r>
        <w:fldChar w:fldCharType="separate"/>
      </w:r>
      <w:r>
        <w:rPr>
          <w:rFonts w:eastAsia="黑体"/>
          <w:bCs/>
          <w:szCs w:val="21"/>
        </w:rPr>
        <w:t>二、编制原则、强制性国家标准主要技术要求的依据及理由</w:t>
      </w:r>
      <w:r>
        <w:rPr>
          <w:rFonts w:eastAsia="黑体"/>
          <w:bCs/>
          <w:szCs w:val="21"/>
        </w:rPr>
        <w:tab/>
      </w:r>
      <w:r>
        <w:rPr>
          <w:rFonts w:eastAsia="黑体"/>
          <w:bCs/>
          <w:szCs w:val="21"/>
        </w:rPr>
        <w:fldChar w:fldCharType="begin"/>
      </w:r>
      <w:r>
        <w:rPr>
          <w:rFonts w:eastAsia="黑体"/>
          <w:bCs/>
          <w:szCs w:val="21"/>
        </w:rPr>
        <w:instrText xml:space="preserve"> PAGEREF _Toc64898476 \h </w:instrText>
      </w:r>
      <w:r>
        <w:rPr>
          <w:rFonts w:eastAsia="黑体"/>
          <w:bCs/>
          <w:szCs w:val="21"/>
        </w:rPr>
        <w:fldChar w:fldCharType="separate"/>
      </w:r>
      <w:r>
        <w:rPr>
          <w:rFonts w:eastAsia="黑体"/>
          <w:bCs/>
          <w:szCs w:val="21"/>
        </w:rPr>
        <w:t>6</w:t>
      </w:r>
      <w:r>
        <w:rPr>
          <w:rFonts w:eastAsia="黑体"/>
          <w:bCs/>
          <w:szCs w:val="21"/>
        </w:rPr>
        <w:fldChar w:fldCharType="end"/>
      </w:r>
      <w:r>
        <w:rPr>
          <w:rFonts w:eastAsia="黑体"/>
          <w:bCs/>
          <w:szCs w:val="21"/>
        </w:rPr>
        <w:fldChar w:fldCharType="end"/>
      </w:r>
    </w:p>
    <w:p>
      <w:pPr>
        <w:pStyle w:val="6"/>
        <w:tabs>
          <w:tab w:val="right" w:leader="dot" w:pos="8296"/>
        </w:tabs>
        <w:spacing w:line="400" w:lineRule="exact"/>
        <w:ind w:firstLine="420"/>
        <w:jc w:val="right"/>
        <w:rPr>
          <w:rFonts w:eastAsia="黑体"/>
          <w:bCs/>
          <w:szCs w:val="21"/>
        </w:rPr>
      </w:pPr>
      <w:r>
        <w:fldChar w:fldCharType="begin"/>
      </w:r>
      <w:r>
        <w:instrText xml:space="preserve"> HYPERLINK \l "_Toc64898477" </w:instrText>
      </w:r>
      <w:r>
        <w:fldChar w:fldCharType="separate"/>
      </w:r>
      <w:r>
        <w:rPr>
          <w:rFonts w:eastAsia="黑体"/>
          <w:bCs/>
          <w:szCs w:val="21"/>
        </w:rPr>
        <w:t>三、与有关法律、行政法规和其他标准的关系</w:t>
      </w:r>
      <w:r>
        <w:rPr>
          <w:rFonts w:eastAsia="黑体"/>
          <w:bCs/>
          <w:szCs w:val="21"/>
        </w:rPr>
        <w:tab/>
      </w:r>
      <w:r>
        <w:rPr>
          <w:rFonts w:eastAsia="黑体"/>
          <w:bCs/>
          <w:szCs w:val="21"/>
        </w:rPr>
        <w:fldChar w:fldCharType="begin"/>
      </w:r>
      <w:r>
        <w:rPr>
          <w:rFonts w:eastAsia="黑体"/>
          <w:bCs/>
          <w:szCs w:val="21"/>
        </w:rPr>
        <w:instrText xml:space="preserve"> PAGEREF _Toc64898477 \h </w:instrText>
      </w:r>
      <w:r>
        <w:rPr>
          <w:rFonts w:eastAsia="黑体"/>
          <w:bCs/>
          <w:szCs w:val="21"/>
        </w:rPr>
        <w:fldChar w:fldCharType="separate"/>
      </w:r>
      <w:r>
        <w:rPr>
          <w:rFonts w:eastAsia="黑体"/>
          <w:bCs/>
          <w:szCs w:val="21"/>
        </w:rPr>
        <w:t>19</w:t>
      </w:r>
      <w:r>
        <w:rPr>
          <w:rFonts w:eastAsia="黑体"/>
          <w:bCs/>
          <w:szCs w:val="21"/>
        </w:rPr>
        <w:fldChar w:fldCharType="end"/>
      </w:r>
      <w:r>
        <w:rPr>
          <w:rFonts w:eastAsia="黑体"/>
          <w:bCs/>
          <w:szCs w:val="21"/>
        </w:rPr>
        <w:fldChar w:fldCharType="end"/>
      </w:r>
    </w:p>
    <w:p>
      <w:pPr>
        <w:pStyle w:val="6"/>
        <w:tabs>
          <w:tab w:val="right" w:leader="dot" w:pos="8296"/>
        </w:tabs>
        <w:spacing w:line="400" w:lineRule="exact"/>
        <w:ind w:firstLine="420"/>
        <w:jc w:val="right"/>
        <w:rPr>
          <w:rFonts w:eastAsia="黑体"/>
          <w:bCs/>
          <w:szCs w:val="21"/>
        </w:rPr>
      </w:pPr>
      <w:r>
        <w:fldChar w:fldCharType="begin"/>
      </w:r>
      <w:r>
        <w:instrText xml:space="preserve"> HYPERLINK \l "_Toc64898478" </w:instrText>
      </w:r>
      <w:r>
        <w:fldChar w:fldCharType="separate"/>
      </w:r>
      <w:r>
        <w:rPr>
          <w:rFonts w:eastAsia="黑体"/>
          <w:bCs/>
          <w:szCs w:val="21"/>
        </w:rPr>
        <w:t>四、与国际标准化组织、其他国家或者地区有关法律法规和标准的比对分析</w:t>
      </w:r>
      <w:r>
        <w:rPr>
          <w:rFonts w:eastAsia="黑体"/>
          <w:bCs/>
          <w:szCs w:val="21"/>
        </w:rPr>
        <w:tab/>
      </w:r>
      <w:r>
        <w:rPr>
          <w:rFonts w:eastAsia="黑体"/>
          <w:bCs/>
          <w:szCs w:val="21"/>
        </w:rPr>
        <w:fldChar w:fldCharType="begin"/>
      </w:r>
      <w:r>
        <w:rPr>
          <w:rFonts w:eastAsia="黑体"/>
          <w:bCs/>
          <w:szCs w:val="21"/>
        </w:rPr>
        <w:instrText xml:space="preserve"> PAGEREF _Toc64898478 \h </w:instrText>
      </w:r>
      <w:r>
        <w:rPr>
          <w:rFonts w:eastAsia="黑体"/>
          <w:bCs/>
          <w:szCs w:val="21"/>
        </w:rPr>
        <w:fldChar w:fldCharType="separate"/>
      </w:r>
      <w:r>
        <w:rPr>
          <w:rFonts w:eastAsia="黑体"/>
          <w:bCs/>
          <w:szCs w:val="21"/>
        </w:rPr>
        <w:t>19</w:t>
      </w:r>
      <w:r>
        <w:rPr>
          <w:rFonts w:eastAsia="黑体"/>
          <w:bCs/>
          <w:szCs w:val="21"/>
        </w:rPr>
        <w:fldChar w:fldCharType="end"/>
      </w:r>
      <w:r>
        <w:rPr>
          <w:rFonts w:eastAsia="黑体"/>
          <w:bCs/>
          <w:szCs w:val="21"/>
        </w:rPr>
        <w:fldChar w:fldCharType="end"/>
      </w:r>
    </w:p>
    <w:p>
      <w:pPr>
        <w:pStyle w:val="6"/>
        <w:tabs>
          <w:tab w:val="right" w:leader="dot" w:pos="8296"/>
        </w:tabs>
        <w:spacing w:line="400" w:lineRule="exact"/>
        <w:ind w:firstLine="420"/>
        <w:jc w:val="right"/>
        <w:rPr>
          <w:rFonts w:eastAsia="黑体"/>
          <w:bCs/>
          <w:szCs w:val="21"/>
        </w:rPr>
      </w:pPr>
      <w:r>
        <w:fldChar w:fldCharType="begin"/>
      </w:r>
      <w:r>
        <w:instrText xml:space="preserve"> HYPERLINK \l "_Toc64898479" </w:instrText>
      </w:r>
      <w:r>
        <w:fldChar w:fldCharType="separate"/>
      </w:r>
      <w:r>
        <w:rPr>
          <w:rFonts w:eastAsia="黑体"/>
          <w:bCs/>
          <w:szCs w:val="21"/>
        </w:rPr>
        <w:t>五、重大分歧意见的处理过程、处理意见及其依据</w:t>
      </w:r>
      <w:r>
        <w:rPr>
          <w:rFonts w:eastAsia="黑体"/>
          <w:bCs/>
          <w:szCs w:val="21"/>
        </w:rPr>
        <w:tab/>
      </w:r>
      <w:r>
        <w:rPr>
          <w:rFonts w:eastAsia="黑体"/>
          <w:bCs/>
          <w:szCs w:val="21"/>
        </w:rPr>
        <w:fldChar w:fldCharType="begin"/>
      </w:r>
      <w:r>
        <w:rPr>
          <w:rFonts w:eastAsia="黑体"/>
          <w:bCs/>
          <w:szCs w:val="21"/>
        </w:rPr>
        <w:instrText xml:space="preserve"> PAGEREF _Toc64898479 \h </w:instrText>
      </w:r>
      <w:r>
        <w:rPr>
          <w:rFonts w:eastAsia="黑体"/>
          <w:bCs/>
          <w:szCs w:val="21"/>
        </w:rPr>
        <w:fldChar w:fldCharType="separate"/>
      </w:r>
      <w:r>
        <w:rPr>
          <w:rFonts w:eastAsia="黑体"/>
          <w:bCs/>
          <w:szCs w:val="21"/>
        </w:rPr>
        <w:t>20</w:t>
      </w:r>
      <w:r>
        <w:rPr>
          <w:rFonts w:eastAsia="黑体"/>
          <w:bCs/>
          <w:szCs w:val="21"/>
        </w:rPr>
        <w:fldChar w:fldCharType="end"/>
      </w:r>
      <w:r>
        <w:rPr>
          <w:rFonts w:eastAsia="黑体"/>
          <w:bCs/>
          <w:szCs w:val="21"/>
        </w:rPr>
        <w:fldChar w:fldCharType="end"/>
      </w:r>
    </w:p>
    <w:p>
      <w:pPr>
        <w:pStyle w:val="6"/>
        <w:tabs>
          <w:tab w:val="right" w:leader="dot" w:pos="8296"/>
        </w:tabs>
        <w:spacing w:line="400" w:lineRule="exact"/>
        <w:ind w:firstLine="420"/>
        <w:jc w:val="right"/>
        <w:rPr>
          <w:rFonts w:eastAsia="黑体"/>
          <w:bCs/>
          <w:szCs w:val="21"/>
        </w:rPr>
      </w:pPr>
      <w:r>
        <w:fldChar w:fldCharType="begin"/>
      </w:r>
      <w:r>
        <w:instrText xml:space="preserve"> HYPERLINK \l "_Toc64898480" </w:instrText>
      </w:r>
      <w:r>
        <w:fldChar w:fldCharType="separate"/>
      </w:r>
      <w:r>
        <w:rPr>
          <w:rFonts w:eastAsia="黑体"/>
          <w:bCs/>
          <w:szCs w:val="21"/>
        </w:rPr>
        <w:t>六、对强制性国家标准自发布日期至实施日期之间的过渡期的建议及理由</w:t>
      </w:r>
      <w:r>
        <w:rPr>
          <w:rFonts w:eastAsia="黑体"/>
          <w:bCs/>
          <w:szCs w:val="21"/>
        </w:rPr>
        <w:tab/>
      </w:r>
      <w:r>
        <w:rPr>
          <w:rFonts w:eastAsia="黑体"/>
          <w:bCs/>
          <w:szCs w:val="21"/>
        </w:rPr>
        <w:fldChar w:fldCharType="begin"/>
      </w:r>
      <w:r>
        <w:rPr>
          <w:rFonts w:eastAsia="黑体"/>
          <w:bCs/>
          <w:szCs w:val="21"/>
        </w:rPr>
        <w:instrText xml:space="preserve"> PAGEREF _Toc64898480 \h </w:instrText>
      </w:r>
      <w:r>
        <w:rPr>
          <w:rFonts w:eastAsia="黑体"/>
          <w:bCs/>
          <w:szCs w:val="21"/>
        </w:rPr>
        <w:fldChar w:fldCharType="separate"/>
      </w:r>
      <w:r>
        <w:rPr>
          <w:rFonts w:eastAsia="黑体"/>
          <w:bCs/>
          <w:szCs w:val="21"/>
        </w:rPr>
        <w:t>20</w:t>
      </w:r>
      <w:r>
        <w:rPr>
          <w:rFonts w:eastAsia="黑体"/>
          <w:bCs/>
          <w:szCs w:val="21"/>
        </w:rPr>
        <w:fldChar w:fldCharType="end"/>
      </w:r>
      <w:r>
        <w:rPr>
          <w:rFonts w:eastAsia="黑体"/>
          <w:bCs/>
          <w:szCs w:val="21"/>
        </w:rPr>
        <w:fldChar w:fldCharType="end"/>
      </w:r>
    </w:p>
    <w:p>
      <w:pPr>
        <w:pStyle w:val="6"/>
        <w:tabs>
          <w:tab w:val="right" w:leader="dot" w:pos="8296"/>
        </w:tabs>
        <w:spacing w:line="400" w:lineRule="exact"/>
        <w:ind w:firstLine="420"/>
        <w:jc w:val="right"/>
        <w:rPr>
          <w:rFonts w:eastAsia="黑体"/>
          <w:bCs/>
          <w:szCs w:val="21"/>
        </w:rPr>
      </w:pPr>
      <w:r>
        <w:fldChar w:fldCharType="begin"/>
      </w:r>
      <w:r>
        <w:instrText xml:space="preserve"> HYPERLINK \l "_Toc64898481" </w:instrText>
      </w:r>
      <w:r>
        <w:fldChar w:fldCharType="separate"/>
      </w:r>
      <w:r>
        <w:rPr>
          <w:rFonts w:eastAsia="黑体"/>
          <w:bCs/>
          <w:szCs w:val="21"/>
        </w:rPr>
        <w:t>七、与实施强制性国家标准有关的政策措施</w:t>
      </w:r>
      <w:r>
        <w:rPr>
          <w:rFonts w:eastAsia="黑体"/>
          <w:bCs/>
          <w:szCs w:val="21"/>
        </w:rPr>
        <w:tab/>
      </w:r>
      <w:r>
        <w:rPr>
          <w:rFonts w:eastAsia="黑体"/>
          <w:bCs/>
          <w:szCs w:val="21"/>
        </w:rPr>
        <w:fldChar w:fldCharType="begin"/>
      </w:r>
      <w:r>
        <w:rPr>
          <w:rFonts w:eastAsia="黑体"/>
          <w:bCs/>
          <w:szCs w:val="21"/>
        </w:rPr>
        <w:instrText xml:space="preserve"> PAGEREF _Toc64898481 \h </w:instrText>
      </w:r>
      <w:r>
        <w:rPr>
          <w:rFonts w:eastAsia="黑体"/>
          <w:bCs/>
          <w:szCs w:val="21"/>
        </w:rPr>
        <w:fldChar w:fldCharType="separate"/>
      </w:r>
      <w:r>
        <w:rPr>
          <w:rFonts w:eastAsia="黑体"/>
          <w:bCs/>
          <w:szCs w:val="21"/>
        </w:rPr>
        <w:t>20</w:t>
      </w:r>
      <w:r>
        <w:rPr>
          <w:rFonts w:eastAsia="黑体"/>
          <w:bCs/>
          <w:szCs w:val="21"/>
        </w:rPr>
        <w:fldChar w:fldCharType="end"/>
      </w:r>
      <w:r>
        <w:rPr>
          <w:rFonts w:eastAsia="黑体"/>
          <w:bCs/>
          <w:szCs w:val="21"/>
        </w:rPr>
        <w:fldChar w:fldCharType="end"/>
      </w:r>
    </w:p>
    <w:p>
      <w:pPr>
        <w:pStyle w:val="6"/>
        <w:tabs>
          <w:tab w:val="right" w:leader="dot" w:pos="8296"/>
        </w:tabs>
        <w:spacing w:line="400" w:lineRule="exact"/>
        <w:ind w:firstLine="420"/>
        <w:jc w:val="right"/>
        <w:rPr>
          <w:rFonts w:eastAsia="黑体"/>
          <w:bCs/>
          <w:szCs w:val="21"/>
        </w:rPr>
      </w:pPr>
      <w:r>
        <w:fldChar w:fldCharType="begin"/>
      </w:r>
      <w:r>
        <w:instrText xml:space="preserve"> HYPERLINK \l "_Toc64898482" </w:instrText>
      </w:r>
      <w:r>
        <w:fldChar w:fldCharType="separate"/>
      </w:r>
      <w:r>
        <w:rPr>
          <w:rFonts w:eastAsia="黑体"/>
          <w:bCs/>
          <w:szCs w:val="21"/>
        </w:rPr>
        <w:t>八、是否需要对外通报的建议及理由</w:t>
      </w:r>
      <w:r>
        <w:rPr>
          <w:rFonts w:eastAsia="黑体"/>
          <w:bCs/>
          <w:szCs w:val="21"/>
        </w:rPr>
        <w:tab/>
      </w:r>
      <w:r>
        <w:rPr>
          <w:rFonts w:eastAsia="黑体"/>
          <w:bCs/>
          <w:szCs w:val="21"/>
        </w:rPr>
        <w:fldChar w:fldCharType="begin"/>
      </w:r>
      <w:r>
        <w:rPr>
          <w:rFonts w:eastAsia="黑体"/>
          <w:bCs/>
          <w:szCs w:val="21"/>
        </w:rPr>
        <w:instrText xml:space="preserve"> PAGEREF _Toc64898482 \h </w:instrText>
      </w:r>
      <w:r>
        <w:rPr>
          <w:rFonts w:eastAsia="黑体"/>
          <w:bCs/>
          <w:szCs w:val="21"/>
        </w:rPr>
        <w:fldChar w:fldCharType="separate"/>
      </w:r>
      <w:r>
        <w:rPr>
          <w:rFonts w:eastAsia="黑体"/>
          <w:bCs/>
          <w:szCs w:val="21"/>
        </w:rPr>
        <w:t>20</w:t>
      </w:r>
      <w:r>
        <w:rPr>
          <w:rFonts w:eastAsia="黑体"/>
          <w:bCs/>
          <w:szCs w:val="21"/>
        </w:rPr>
        <w:fldChar w:fldCharType="end"/>
      </w:r>
      <w:r>
        <w:rPr>
          <w:rFonts w:eastAsia="黑体"/>
          <w:bCs/>
          <w:szCs w:val="21"/>
        </w:rPr>
        <w:fldChar w:fldCharType="end"/>
      </w:r>
    </w:p>
    <w:p>
      <w:pPr>
        <w:pStyle w:val="6"/>
        <w:tabs>
          <w:tab w:val="right" w:leader="dot" w:pos="8296"/>
        </w:tabs>
        <w:spacing w:line="400" w:lineRule="exact"/>
        <w:ind w:firstLine="420"/>
        <w:jc w:val="right"/>
        <w:rPr>
          <w:rFonts w:eastAsia="黑体"/>
          <w:bCs/>
          <w:szCs w:val="21"/>
        </w:rPr>
      </w:pPr>
      <w:r>
        <w:fldChar w:fldCharType="begin"/>
      </w:r>
      <w:r>
        <w:instrText xml:space="preserve"> HYPERLINK \l "_Toc64898483" </w:instrText>
      </w:r>
      <w:r>
        <w:fldChar w:fldCharType="separate"/>
      </w:r>
      <w:r>
        <w:rPr>
          <w:rFonts w:eastAsia="黑体"/>
          <w:bCs/>
          <w:szCs w:val="21"/>
        </w:rPr>
        <w:t>九、废止现行有关标准的建议</w:t>
      </w:r>
      <w:r>
        <w:rPr>
          <w:rFonts w:eastAsia="黑体"/>
          <w:bCs/>
          <w:szCs w:val="21"/>
        </w:rPr>
        <w:tab/>
      </w:r>
      <w:r>
        <w:rPr>
          <w:rFonts w:eastAsia="黑体"/>
          <w:bCs/>
          <w:szCs w:val="21"/>
        </w:rPr>
        <w:fldChar w:fldCharType="begin"/>
      </w:r>
      <w:r>
        <w:rPr>
          <w:rFonts w:eastAsia="黑体"/>
          <w:bCs/>
          <w:szCs w:val="21"/>
        </w:rPr>
        <w:instrText xml:space="preserve"> PAGEREF _Toc64898483 \h </w:instrText>
      </w:r>
      <w:r>
        <w:rPr>
          <w:rFonts w:eastAsia="黑体"/>
          <w:bCs/>
          <w:szCs w:val="21"/>
        </w:rPr>
        <w:fldChar w:fldCharType="separate"/>
      </w:r>
      <w:r>
        <w:rPr>
          <w:rFonts w:eastAsia="黑体"/>
          <w:bCs/>
          <w:szCs w:val="21"/>
        </w:rPr>
        <w:t>20</w:t>
      </w:r>
      <w:r>
        <w:rPr>
          <w:rFonts w:eastAsia="黑体"/>
          <w:bCs/>
          <w:szCs w:val="21"/>
        </w:rPr>
        <w:fldChar w:fldCharType="end"/>
      </w:r>
      <w:r>
        <w:rPr>
          <w:rFonts w:eastAsia="黑体"/>
          <w:bCs/>
          <w:szCs w:val="21"/>
        </w:rPr>
        <w:fldChar w:fldCharType="end"/>
      </w:r>
    </w:p>
    <w:p>
      <w:pPr>
        <w:pStyle w:val="6"/>
        <w:tabs>
          <w:tab w:val="right" w:leader="dot" w:pos="8296"/>
        </w:tabs>
        <w:spacing w:line="400" w:lineRule="exact"/>
        <w:ind w:firstLine="420"/>
        <w:jc w:val="right"/>
        <w:rPr>
          <w:rFonts w:eastAsia="黑体"/>
          <w:bCs/>
          <w:szCs w:val="21"/>
        </w:rPr>
      </w:pPr>
      <w:r>
        <w:fldChar w:fldCharType="begin"/>
      </w:r>
      <w:r>
        <w:instrText xml:space="preserve"> HYPERLINK \l "_Toc64898484" </w:instrText>
      </w:r>
      <w:r>
        <w:fldChar w:fldCharType="separate"/>
      </w:r>
      <w:r>
        <w:rPr>
          <w:rFonts w:eastAsia="黑体"/>
          <w:bCs/>
          <w:szCs w:val="21"/>
        </w:rPr>
        <w:t>十、涉及专利的有关说明</w:t>
      </w:r>
      <w:r>
        <w:rPr>
          <w:rFonts w:eastAsia="黑体"/>
          <w:bCs/>
          <w:szCs w:val="21"/>
        </w:rPr>
        <w:tab/>
      </w:r>
      <w:r>
        <w:rPr>
          <w:rFonts w:eastAsia="黑体"/>
          <w:bCs/>
          <w:szCs w:val="21"/>
        </w:rPr>
        <w:fldChar w:fldCharType="begin"/>
      </w:r>
      <w:r>
        <w:rPr>
          <w:rFonts w:eastAsia="黑体"/>
          <w:bCs/>
          <w:szCs w:val="21"/>
        </w:rPr>
        <w:instrText xml:space="preserve"> PAGEREF _Toc64898484 \h </w:instrText>
      </w:r>
      <w:r>
        <w:rPr>
          <w:rFonts w:eastAsia="黑体"/>
          <w:bCs/>
          <w:szCs w:val="21"/>
        </w:rPr>
        <w:fldChar w:fldCharType="separate"/>
      </w:r>
      <w:r>
        <w:rPr>
          <w:rFonts w:eastAsia="黑体"/>
          <w:bCs/>
          <w:szCs w:val="21"/>
        </w:rPr>
        <w:t>20</w:t>
      </w:r>
      <w:r>
        <w:rPr>
          <w:rFonts w:eastAsia="黑体"/>
          <w:bCs/>
          <w:szCs w:val="21"/>
        </w:rPr>
        <w:fldChar w:fldCharType="end"/>
      </w:r>
      <w:r>
        <w:rPr>
          <w:rFonts w:eastAsia="黑体"/>
          <w:bCs/>
          <w:szCs w:val="21"/>
        </w:rPr>
        <w:fldChar w:fldCharType="end"/>
      </w:r>
    </w:p>
    <w:p>
      <w:pPr>
        <w:pStyle w:val="6"/>
        <w:tabs>
          <w:tab w:val="right" w:leader="dot" w:pos="8296"/>
        </w:tabs>
        <w:spacing w:line="400" w:lineRule="exact"/>
        <w:ind w:firstLine="420"/>
        <w:jc w:val="right"/>
        <w:rPr>
          <w:rFonts w:eastAsia="黑体"/>
          <w:bCs/>
          <w:szCs w:val="21"/>
        </w:rPr>
      </w:pPr>
      <w:r>
        <w:fldChar w:fldCharType="begin"/>
      </w:r>
      <w:r>
        <w:instrText xml:space="preserve"> HYPERLINK \l "_Toc64898485" </w:instrText>
      </w:r>
      <w:r>
        <w:fldChar w:fldCharType="separate"/>
      </w:r>
      <w:r>
        <w:rPr>
          <w:rFonts w:eastAsia="黑体"/>
          <w:bCs/>
          <w:szCs w:val="21"/>
        </w:rPr>
        <w:t>十一、强制性国家标准所涉及的产品、过程或者服务目录</w:t>
      </w:r>
      <w:r>
        <w:rPr>
          <w:rFonts w:eastAsia="黑体"/>
          <w:bCs/>
          <w:szCs w:val="21"/>
        </w:rPr>
        <w:tab/>
      </w:r>
      <w:r>
        <w:rPr>
          <w:rFonts w:eastAsia="黑体"/>
          <w:bCs/>
          <w:szCs w:val="21"/>
        </w:rPr>
        <w:fldChar w:fldCharType="begin"/>
      </w:r>
      <w:r>
        <w:rPr>
          <w:rFonts w:eastAsia="黑体"/>
          <w:bCs/>
          <w:szCs w:val="21"/>
        </w:rPr>
        <w:instrText xml:space="preserve"> PAGEREF _Toc64898485 \h </w:instrText>
      </w:r>
      <w:r>
        <w:rPr>
          <w:rFonts w:eastAsia="黑体"/>
          <w:bCs/>
          <w:szCs w:val="21"/>
        </w:rPr>
        <w:fldChar w:fldCharType="separate"/>
      </w:r>
      <w:r>
        <w:rPr>
          <w:rFonts w:eastAsia="黑体"/>
          <w:bCs/>
          <w:szCs w:val="21"/>
        </w:rPr>
        <w:t>21</w:t>
      </w:r>
      <w:r>
        <w:rPr>
          <w:rFonts w:eastAsia="黑体"/>
          <w:bCs/>
          <w:szCs w:val="21"/>
        </w:rPr>
        <w:fldChar w:fldCharType="end"/>
      </w:r>
      <w:r>
        <w:rPr>
          <w:rFonts w:eastAsia="黑体"/>
          <w:bCs/>
          <w:szCs w:val="21"/>
        </w:rPr>
        <w:fldChar w:fldCharType="end"/>
      </w:r>
    </w:p>
    <w:p>
      <w:pPr>
        <w:pStyle w:val="6"/>
        <w:tabs>
          <w:tab w:val="right" w:leader="dot" w:pos="8296"/>
        </w:tabs>
        <w:spacing w:line="400" w:lineRule="exact"/>
        <w:ind w:firstLine="420"/>
        <w:jc w:val="right"/>
        <w:rPr>
          <w:rFonts w:eastAsia="黑体"/>
          <w:bCs/>
          <w:szCs w:val="21"/>
        </w:rPr>
      </w:pPr>
      <w:r>
        <w:fldChar w:fldCharType="begin"/>
      </w:r>
      <w:r>
        <w:instrText xml:space="preserve"> HYPERLINK \l "_Toc64898486" </w:instrText>
      </w:r>
      <w:r>
        <w:fldChar w:fldCharType="separate"/>
      </w:r>
      <w:r>
        <w:rPr>
          <w:rFonts w:eastAsia="黑体"/>
          <w:bCs/>
          <w:szCs w:val="21"/>
        </w:rPr>
        <w:t>十二、其他应当予以说明的事项</w:t>
      </w:r>
      <w:r>
        <w:rPr>
          <w:rFonts w:eastAsia="黑体"/>
          <w:bCs/>
          <w:szCs w:val="21"/>
        </w:rPr>
        <w:tab/>
      </w:r>
      <w:r>
        <w:rPr>
          <w:rFonts w:eastAsia="黑体"/>
          <w:bCs/>
          <w:szCs w:val="21"/>
        </w:rPr>
        <w:fldChar w:fldCharType="begin"/>
      </w:r>
      <w:r>
        <w:rPr>
          <w:rFonts w:eastAsia="黑体"/>
          <w:bCs/>
          <w:szCs w:val="21"/>
        </w:rPr>
        <w:instrText xml:space="preserve"> PAGEREF _Toc64898486 \h </w:instrText>
      </w:r>
      <w:r>
        <w:rPr>
          <w:rFonts w:eastAsia="黑体"/>
          <w:bCs/>
          <w:szCs w:val="21"/>
        </w:rPr>
        <w:fldChar w:fldCharType="separate"/>
      </w:r>
      <w:r>
        <w:rPr>
          <w:rFonts w:eastAsia="黑体"/>
          <w:bCs/>
          <w:szCs w:val="21"/>
        </w:rPr>
        <w:t>21</w:t>
      </w:r>
      <w:r>
        <w:rPr>
          <w:rFonts w:eastAsia="黑体"/>
          <w:bCs/>
          <w:szCs w:val="21"/>
        </w:rPr>
        <w:fldChar w:fldCharType="end"/>
      </w:r>
      <w:r>
        <w:rPr>
          <w:rFonts w:eastAsia="黑体"/>
          <w:bCs/>
          <w:szCs w:val="21"/>
        </w:rPr>
        <w:fldChar w:fldCharType="end"/>
      </w:r>
    </w:p>
    <w:p>
      <w:pPr>
        <w:autoSpaceDE w:val="0"/>
        <w:autoSpaceDN w:val="0"/>
        <w:adjustRightInd w:val="0"/>
        <w:spacing w:line="240" w:lineRule="auto"/>
        <w:ind w:firstLine="0" w:firstLineChars="0"/>
        <w:jc w:val="center"/>
        <w:outlineLvl w:val="0"/>
        <w:rPr>
          <w:rFonts w:hint="eastAsia" w:ascii="黑体" w:hAnsi="黑体" w:eastAsia="黑体"/>
          <w:color w:val="000000"/>
          <w:kern w:val="0"/>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12" w:charSpace="0"/>
        </w:sectPr>
      </w:pPr>
      <w:r>
        <w:fldChar w:fldCharType="end"/>
      </w:r>
      <w:bookmarkEnd w:id="14"/>
    </w:p>
    <w:p>
      <w:pPr>
        <w:autoSpaceDE w:val="0"/>
        <w:autoSpaceDN w:val="0"/>
        <w:adjustRightInd w:val="0"/>
        <w:spacing w:line="240" w:lineRule="auto"/>
        <w:ind w:firstLine="0" w:firstLineChars="0"/>
        <w:jc w:val="center"/>
        <w:outlineLvl w:val="0"/>
        <w:rPr>
          <w:rFonts w:hint="eastAsia" w:ascii="黑体" w:hAnsi="黑体" w:eastAsia="黑体"/>
          <w:color w:val="000000"/>
          <w:kern w:val="0"/>
          <w:sz w:val="32"/>
          <w:szCs w:val="32"/>
        </w:rPr>
      </w:pPr>
      <w:bookmarkStart w:id="16" w:name="_Toc64898472"/>
      <w:r>
        <w:rPr>
          <w:rFonts w:ascii="黑体" w:hAnsi="黑体" w:eastAsia="黑体"/>
          <w:color w:val="000000"/>
          <w:kern w:val="0"/>
          <w:sz w:val="32"/>
          <w:szCs w:val="32"/>
        </w:rPr>
        <w:t>《</w:t>
      </w:r>
      <w:r>
        <w:rPr>
          <w:rFonts w:hint="eastAsia" w:ascii="黑体" w:hAnsi="黑体" w:eastAsia="黑体"/>
          <w:color w:val="000000"/>
          <w:kern w:val="0"/>
          <w:sz w:val="32"/>
          <w:szCs w:val="32"/>
        </w:rPr>
        <w:t>电动汽车能量消耗量限值 第1部分：乘用车</w:t>
      </w:r>
      <w:r>
        <w:rPr>
          <w:rFonts w:ascii="黑体" w:hAnsi="黑体" w:eastAsia="黑体"/>
          <w:color w:val="000000"/>
          <w:kern w:val="0"/>
          <w:sz w:val="32"/>
          <w:szCs w:val="32"/>
        </w:rPr>
        <w:t>》</w:t>
      </w:r>
      <w:bookmarkEnd w:id="9"/>
      <w:bookmarkEnd w:id="10"/>
      <w:bookmarkEnd w:id="11"/>
      <w:bookmarkEnd w:id="12"/>
      <w:bookmarkEnd w:id="16"/>
    </w:p>
    <w:p>
      <w:pPr>
        <w:autoSpaceDE w:val="0"/>
        <w:autoSpaceDN w:val="0"/>
        <w:adjustRightInd w:val="0"/>
        <w:spacing w:line="240" w:lineRule="auto"/>
        <w:ind w:firstLine="0" w:firstLineChars="0"/>
        <w:jc w:val="center"/>
        <w:outlineLvl w:val="0"/>
        <w:rPr>
          <w:rFonts w:hint="eastAsia" w:ascii="黑体" w:hAnsi="黑体" w:eastAsia="黑体"/>
          <w:color w:val="000000"/>
          <w:kern w:val="0"/>
          <w:sz w:val="32"/>
          <w:szCs w:val="32"/>
        </w:rPr>
      </w:pPr>
      <w:bookmarkStart w:id="17" w:name="_Toc4815"/>
      <w:bookmarkStart w:id="18" w:name="_Toc21854"/>
      <w:bookmarkStart w:id="19" w:name="_Toc36212236"/>
      <w:bookmarkStart w:id="20" w:name="_Toc64898473"/>
      <w:bookmarkStart w:id="21" w:name="_Toc14803"/>
      <w:r>
        <w:rPr>
          <w:rFonts w:ascii="黑体" w:hAnsi="黑体" w:eastAsia="黑体"/>
          <w:color w:val="000000"/>
          <w:kern w:val="0"/>
          <w:sz w:val="32"/>
          <w:szCs w:val="32"/>
        </w:rPr>
        <w:t>（</w:t>
      </w:r>
      <w:r>
        <w:rPr>
          <w:rFonts w:hint="eastAsia" w:ascii="黑体" w:hAnsi="黑体" w:eastAsia="黑体"/>
          <w:color w:val="000000"/>
          <w:kern w:val="0"/>
          <w:sz w:val="32"/>
          <w:szCs w:val="32"/>
        </w:rPr>
        <w:t>征求意见稿</w:t>
      </w:r>
      <w:r>
        <w:rPr>
          <w:rFonts w:ascii="黑体" w:hAnsi="黑体" w:eastAsia="黑体"/>
          <w:color w:val="000000"/>
          <w:kern w:val="0"/>
          <w:sz w:val="32"/>
          <w:szCs w:val="32"/>
        </w:rPr>
        <w:t>）</w:t>
      </w:r>
      <w:bookmarkEnd w:id="17"/>
      <w:bookmarkEnd w:id="18"/>
      <w:bookmarkEnd w:id="19"/>
      <w:bookmarkEnd w:id="20"/>
      <w:bookmarkEnd w:id="21"/>
    </w:p>
    <w:p>
      <w:pPr>
        <w:autoSpaceDE w:val="0"/>
        <w:autoSpaceDN w:val="0"/>
        <w:adjustRightInd w:val="0"/>
        <w:spacing w:line="240" w:lineRule="auto"/>
        <w:ind w:firstLine="0" w:firstLineChars="0"/>
        <w:jc w:val="center"/>
        <w:outlineLvl w:val="0"/>
        <w:rPr>
          <w:rFonts w:hint="eastAsia" w:ascii="黑体" w:hAnsi="黑体" w:eastAsia="黑体" w:cs="宋体"/>
          <w:color w:val="000000"/>
          <w:kern w:val="0"/>
          <w:sz w:val="32"/>
          <w:szCs w:val="32"/>
        </w:rPr>
      </w:pPr>
      <w:bookmarkStart w:id="22" w:name="_Toc30226"/>
      <w:bookmarkStart w:id="23" w:name="_Toc8137"/>
      <w:bookmarkStart w:id="24" w:name="_Toc64898474"/>
      <w:bookmarkStart w:id="25" w:name="_Toc31546"/>
      <w:bookmarkStart w:id="26" w:name="_Toc36212237"/>
      <w:r>
        <w:rPr>
          <w:rFonts w:hint="eastAsia" w:ascii="黑体" w:hAnsi="黑体" w:eastAsia="黑体" w:cs="宋体"/>
          <w:color w:val="000000"/>
          <w:kern w:val="0"/>
          <w:sz w:val="32"/>
          <w:szCs w:val="32"/>
        </w:rPr>
        <w:t>编制说明</w:t>
      </w:r>
      <w:bookmarkEnd w:id="22"/>
      <w:bookmarkEnd w:id="23"/>
      <w:bookmarkEnd w:id="24"/>
      <w:bookmarkEnd w:id="25"/>
      <w:bookmarkEnd w:id="26"/>
    </w:p>
    <w:p>
      <w:pPr>
        <w:numPr>
          <w:ilvl w:val="0"/>
          <w:numId w:val="1"/>
        </w:numPr>
        <w:autoSpaceDE w:val="0"/>
        <w:autoSpaceDN w:val="0"/>
        <w:adjustRightInd w:val="0"/>
        <w:spacing w:before="156" w:beforeLines="50" w:after="156" w:afterLines="50" w:line="400" w:lineRule="exact"/>
        <w:ind w:left="567" w:hanging="567" w:firstLineChars="0"/>
        <w:jc w:val="left"/>
        <w:outlineLvl w:val="0"/>
        <w:rPr>
          <w:rFonts w:hint="eastAsia" w:ascii="黑体" w:hAnsi="黑体" w:eastAsia="黑体" w:cs="宋体"/>
          <w:bCs/>
          <w:color w:val="000000"/>
          <w:kern w:val="0"/>
          <w:sz w:val="24"/>
        </w:rPr>
      </w:pPr>
      <w:bookmarkStart w:id="27" w:name="_Toc733"/>
      <w:bookmarkStart w:id="28" w:name="_Toc7124"/>
      <w:bookmarkStart w:id="29" w:name="_Toc36212238"/>
      <w:bookmarkStart w:id="30" w:name="_Toc64898475"/>
      <w:bookmarkStart w:id="31" w:name="_Hlk64896381"/>
      <w:r>
        <w:rPr>
          <w:rFonts w:hint="eastAsia" w:ascii="黑体" w:hAnsi="黑体" w:eastAsia="黑体" w:cs="宋体"/>
          <w:bCs/>
          <w:color w:val="000000"/>
          <w:kern w:val="0"/>
          <w:sz w:val="24"/>
        </w:rPr>
        <w:t>工作简况</w:t>
      </w:r>
      <w:bookmarkEnd w:id="27"/>
      <w:bookmarkEnd w:id="28"/>
      <w:bookmarkEnd w:id="29"/>
      <w:bookmarkEnd w:id="30"/>
    </w:p>
    <w:p>
      <w:pPr>
        <w:spacing w:line="400" w:lineRule="exact"/>
        <w:ind w:firstLine="422"/>
        <w:rPr>
          <w:b/>
          <w:bCs/>
        </w:rPr>
      </w:pPr>
      <w:r>
        <w:rPr>
          <w:rFonts w:hint="eastAsia"/>
          <w:b/>
          <w:bCs/>
        </w:rPr>
        <w:t>1. 背景</w:t>
      </w:r>
    </w:p>
    <w:p>
      <w:pPr>
        <w:spacing w:line="400" w:lineRule="exact"/>
        <w:ind w:firstLine="420"/>
      </w:pPr>
      <w:r>
        <w:rPr>
          <w:rFonts w:hint="eastAsia"/>
        </w:rPr>
        <w:t>近年来，我国石油对外依存度高居不下，能源矛盾日益突出。发展新能源汽车是缓解自然资源和环境压力的有力措施。2016年7月修订的《中华人民共和国节约能源法》第四十五条明确规定“国家鼓励开发、生产、使用节能环保型汽车、摩托车、铁路机车车辆、船舶和其他交通运输工具…”。在工信部、国家发展改革委及科技部三部委联合发布的《汽车产业中长期发展规划》中也对2025年我国的汽车节能与新能源的发展目标提出了明确要求：“到2025年，绿色发展水平大幅提高，新能源汽车占汽车产销20%以上。”此外，国家和地方持续推动落实车购税、车船税、牌照等有关支持政策，促使新能源汽车产业蓬勃发展。2023年我国新能源汽车持续爆发式增长，产销分别完成958.7万辆和949.5万辆，同比分别增长35.8%和37.9%，市场占有率达到31.6%，连续9年保持全球第一。</w:t>
      </w:r>
    </w:p>
    <w:p>
      <w:pPr>
        <w:spacing w:line="400" w:lineRule="exact"/>
        <w:ind w:firstLine="420"/>
      </w:pPr>
      <w:r>
        <w:rPr>
          <w:rFonts w:hint="eastAsia"/>
        </w:rPr>
        <w:t>未来，新能源汽车仍将不断发展壮大，市场规模也将不断扩大，因此如何有效的约束此类车型的电耗水平对于降低汽车产业的总体能耗将有着愈加重要的影响。另一方面，电动汽车产业的快速发展也带来了原材料的短缺，通过有效控制电耗能够降低电池等核心部件原材料的需求，进而实现资源节约。</w:t>
      </w:r>
    </w:p>
    <w:p>
      <w:pPr>
        <w:spacing w:line="400" w:lineRule="exact"/>
        <w:ind w:firstLine="420"/>
      </w:pPr>
      <w:r>
        <w:rPr>
          <w:rFonts w:hint="eastAsia"/>
        </w:rPr>
        <w:t>国家层面，我国陆续发布了一系列文件对新能源汽车节能降耗提出新的要求。2020年，国务院印发的《新能源汽车产业发展规划（2021-2035年）》中提出：“到2025年，纯电动乘用车新车平均电耗降至12.0千瓦时/百公里，新能源汽车新车销售量达到汽车新车销售总量的20%左右。”2022年，市场监管总局等九部门联合印发的《建立健全碳达峰碳中和标准计量体系实施方案》中指出：“制定电动汽车能量消耗量限值、能耗测试方法标准。”工信部装备中心发布的双积分年报显示，2016~2020年间，纯电动乘用车电耗水平呈不断下降趋势，而近三年电耗水平未发生明显变化，其中，2022年平均电耗为12.35kWh/100km，与规划目标较为接近。但结合近几年平均车重可以预测，未来车重有进一步增加的趋势，因此有必要通过相关措施进行约束以支撑规划目标的落地。2024年，国务院印发的《推动大规模设备更新和消费品以旧换新行动方案》指出：“加快完善能耗、排放、技术标准。加快乘用车、重型商用车能量消耗量值相关限制标准升级。”明确表示需加快提升汽车节能指标和市场准入门槛，即直接对本标准的修订提出了要求。推动汽车产品的以旧换新是加快构建汽车产业新发展格局、推动汽车产业高质量发展的重要举措，而限值标准的更新将有力促进投资和消费。</w:t>
      </w:r>
    </w:p>
    <w:p>
      <w:pPr>
        <w:spacing w:line="400" w:lineRule="exact"/>
        <w:ind w:firstLine="420"/>
      </w:pPr>
      <w:r>
        <w:rPr>
          <w:rFonts w:hint="eastAsia"/>
        </w:rPr>
        <w:t>前期，我国已发布全球范围内首个针对纯电动乘用车能量消耗量的限值标准GB/T 36980—2018《电动汽车能量消耗率限值》，在一定程度上有效引导了产业的节能降耗。随着产业的发展和技术的进步，现行标准已不能满足行业管理需求，主要原因有3个方面：一是测试方法变更，新测试方法标准GB/T 18386.1—2021《电动汽车能量消耗量和续驶里程试验方法 第1部分：轻型汽车》已发布实施，与前一版本相比，试验工况及测试规程均发生显著变化，按照原版本测试基础数据得到的限值要求已无法与现行试验方法相对应；二是技术水平提升，目前的限值要求基于2015~2017年间的车型数据制定，而该阶段处于产业发展初期，相关技术水平与现阶段存在较大差距，指标要求无法支撑落实产业规划目标的实现；三是标准定位转变，随着双碳战略的提出及相关产业规划的出台，标准的定位已从原来的引导属性转变为管理属性，指标要求也需基于管理需要重新研究评估。通过开展此次修订，将提出符合产业现状及技术趋势的限值要求，进一步促进低能耗、低排放的汽车产品开发和生产，持续推动汽车行业可持续发展、提升国际竞争力，助力国家双碳战略和节能目标的实现。</w:t>
      </w:r>
    </w:p>
    <w:p>
      <w:pPr>
        <w:spacing w:line="400" w:lineRule="exact"/>
        <w:ind w:firstLine="422"/>
        <w:rPr>
          <w:b/>
          <w:bCs/>
        </w:rPr>
      </w:pPr>
      <w:r>
        <w:rPr>
          <w:rFonts w:hint="eastAsia"/>
          <w:b/>
          <w:bCs/>
        </w:rPr>
        <w:t>2. 任务来源</w:t>
      </w:r>
    </w:p>
    <w:p>
      <w:pPr>
        <w:spacing w:line="400" w:lineRule="exact"/>
        <w:ind w:firstLine="420"/>
      </w:pPr>
      <w:r>
        <w:rPr>
          <w:rFonts w:hint="eastAsia"/>
        </w:rPr>
        <w:t>2024年6月，国标委下达GB 36980.1《电动汽车能量消耗量限值 第1部分：乘用车》标准修订计划，标准项目号为</w:t>
      </w:r>
      <w:r>
        <w:t>20241864-Q-339</w:t>
      </w:r>
      <w:r>
        <w:rPr>
          <w:rFonts w:hint="eastAsia"/>
        </w:rPr>
        <w:t>。</w:t>
      </w:r>
    </w:p>
    <w:p>
      <w:pPr>
        <w:spacing w:line="400" w:lineRule="exact"/>
        <w:ind w:firstLine="420"/>
      </w:pPr>
      <w:r>
        <w:rPr>
          <w:rFonts w:hint="eastAsia"/>
        </w:rPr>
        <w:t>在工业和信息化部和国家标准化管理委员会指导下，中国汽车技术研究中心有限公司从2021年开始着手进行GB 36980.1《电动汽车能量消耗量限值 第1部分：乘用车》标准前期预研工作，包括：1）密切跟踪欧洲、美国、日本等主要汽车生产和销售国家（地区）的乘用车节能标准法规动态；2）在行业内开展乘用车节能技术应用情况、潜力和成本调查等；3）在行业内广泛征集现阶段车型能量消耗量测试结果，研究工况全面切换后的行业总体能耗表现。</w:t>
      </w:r>
    </w:p>
    <w:p>
      <w:pPr>
        <w:spacing w:line="400" w:lineRule="exact"/>
        <w:ind w:firstLine="422"/>
        <w:rPr>
          <w:b/>
          <w:bCs/>
        </w:rPr>
      </w:pPr>
      <w:r>
        <w:rPr>
          <w:rFonts w:hint="eastAsia"/>
          <w:b/>
          <w:bCs/>
        </w:rPr>
        <w:t>3. 主要工作过程</w:t>
      </w:r>
    </w:p>
    <w:p>
      <w:pPr>
        <w:spacing w:line="400" w:lineRule="exact"/>
        <w:ind w:firstLine="420"/>
      </w:pPr>
      <w:r>
        <w:rPr>
          <w:rFonts w:hint="eastAsia"/>
        </w:rPr>
        <w:t>按照节能工作整体部署，GB 36980.1《电动汽车能量消耗量限值 第1部分：乘用车》标准修订工作于2021年正式启动。中国汽车技术研究中心有限公司牵头组织国内外主要整车企业、检测机构共同开展研究。</w:t>
      </w:r>
    </w:p>
    <w:p>
      <w:pPr>
        <w:spacing w:line="400" w:lineRule="exact"/>
        <w:ind w:firstLine="420"/>
      </w:pPr>
      <w:r>
        <w:rPr>
          <w:rFonts w:hint="eastAsia"/>
        </w:rPr>
        <w:t>自启动标准修订工作以来，中国汽车技术研究中心有限公司组织召开多次工作会议和技术交流并开展了节能技术调查；通过会议交流和走访系统深入了解我国乘用车能量消耗量技术水平；组织开展了中国工况下乘用车能量消耗量摸底试验；组织行业制定标准草案并开展了技术验证。期间开展了多次工作组活动进行专项研讨：</w:t>
      </w:r>
    </w:p>
    <w:p>
      <w:pPr>
        <w:spacing w:line="400" w:lineRule="exact"/>
        <w:ind w:firstLine="420"/>
      </w:pPr>
      <w:r>
        <w:rPr>
          <w:rFonts w:hint="eastAsia"/>
        </w:rPr>
        <w:t>1.调研阶段</w:t>
      </w:r>
    </w:p>
    <w:p>
      <w:pPr>
        <w:spacing w:line="400" w:lineRule="exact"/>
        <w:ind w:firstLine="420"/>
      </w:pPr>
      <w:r>
        <w:rPr>
          <w:rFonts w:hint="eastAsia"/>
        </w:rPr>
        <w:t>（1）2021年3月24日，乘用车及轻型商用车燃料消耗量限值及指标类标准工作组2021年第一次会议于武汉召开，来自国内外主要整车企业、零部件企业及检测机构的代表共150余人参加会议。会议通报了标准的预研情况，讨论提出以系列标准的形式逐步建立涵盖各质量类型的纯电动汽车电耗限值标准，现阶段首先开展针对乘用车的修订；三排座椅、最高车速低于114km/h的车型限值是否调整应结合行业数据确定；标准修订后能够与双积分等产业政策做好衔接。</w:t>
      </w:r>
    </w:p>
    <w:p>
      <w:pPr>
        <w:spacing w:line="400" w:lineRule="exact"/>
        <w:ind w:firstLine="420"/>
      </w:pPr>
      <w:r>
        <w:rPr>
          <w:rFonts w:hint="eastAsia"/>
        </w:rPr>
        <w:t>（2）2021年5月18日，全国汽车标准化技术委员会第二届汽车节能分技术委员会换届大会暨标准审查会在西安召开，来自汽车节能分标委委员、观察员和标准起草单位的65位专家参加会议。起草组从标准修订的总体背景、必要性、主要修订内容及考虑因素等方面进行了介绍，会议对该标准的立项进行了审议，经专家质询并根据会议表决，审议通过了GB 36980.1《电动汽车能量消耗量限值 第1部分：乘用车》标准的立项建议。</w:t>
      </w:r>
    </w:p>
    <w:p>
      <w:pPr>
        <w:spacing w:line="400" w:lineRule="exact"/>
        <w:ind w:firstLine="420"/>
      </w:pPr>
      <w:r>
        <w:rPr>
          <w:rFonts w:hint="eastAsia"/>
        </w:rPr>
        <w:t>（3）2021年9月28日，标准专项研究组第一次会议在桐乡市召开，来自国内外主要电动汽车整车企业、零部件企业及检测机构等近50家单位的80余位专家代表参加会议。会上，起草组介绍了标准研究进展及行业问卷调研情况；长安、合众、比亚迪、蔚来、戴姆勒、天检中心等专家就电耗限值标准修订的关键问题进行了专题介绍。与会专家就电耗目标、实际电耗、智能网联汽车的影响等问题进行了交流讨论。</w:t>
      </w:r>
    </w:p>
    <w:p>
      <w:pPr>
        <w:spacing w:line="400" w:lineRule="exact"/>
        <w:ind w:firstLine="420"/>
      </w:pPr>
      <w:r>
        <w:rPr>
          <w:rFonts w:hint="eastAsia"/>
        </w:rPr>
        <w:t>（4）2021年11月24日，电动汽车整车标准工作组2021年第二次会议在天津召开。会议采取线上、线下结合的形式进行，来自国内外主要整车企业、零部件企业、检测中心、高等院校的270多名代表参加会议。会上，起草组从标准属性、适用范围、单车限值、企业平均、特殊车型等方面进行了相关介绍。</w:t>
      </w:r>
    </w:p>
    <w:p>
      <w:pPr>
        <w:spacing w:line="400" w:lineRule="exact"/>
        <w:ind w:firstLine="420"/>
      </w:pPr>
      <w:r>
        <w:rPr>
          <w:rFonts w:hint="eastAsia"/>
        </w:rPr>
        <w:t>（5）2022年6月1日，标准专项研究组第二次会议以网络会议形式召开，来自国内外主要整车企业、零部件企业、检测机构等单位的140余位专家代表参加会议。会上，起草组从标准属性、适用范围、单车限值、企业平均、特殊车型五个方面介绍了纯电动乘用车能量消耗量限值标准研究进展及行业问卷调研情况。与会专家围绕电耗目标、评价方式及质量范围、节能技术、新技术发展、实施周期等核心问题发表了意见建议。</w:t>
      </w:r>
    </w:p>
    <w:p>
      <w:pPr>
        <w:spacing w:line="400" w:lineRule="exact"/>
        <w:ind w:firstLine="420"/>
      </w:pPr>
      <w:r>
        <w:rPr>
          <w:rFonts w:hint="eastAsia"/>
        </w:rPr>
        <w:t>2.起草阶段</w:t>
      </w:r>
    </w:p>
    <w:p>
      <w:pPr>
        <w:spacing w:line="400" w:lineRule="exact"/>
        <w:ind w:firstLine="420"/>
      </w:pPr>
      <w:r>
        <w:rPr>
          <w:rFonts w:hint="eastAsia"/>
        </w:rPr>
        <w:t>（1）2022年11月18日，乘用车及轻型商用车燃料消耗量限值及指标类标准工作组2022年第二次会议以线上、线下相结合方式在长沙召开，来自国内外主要整车企业、零部件企业、检测机构等单位的230余位专家代表参加会议。起草组就标准的适用范围、指标设定、特殊车型、同一型式判定等内容进行了介绍，明确标准仅包含乘用车型，并将采用线性的方式以整备质量为基准制定，会议围绕相关问题进行了讨论。</w:t>
      </w:r>
    </w:p>
    <w:p>
      <w:pPr>
        <w:spacing w:line="400" w:lineRule="exact"/>
        <w:ind w:firstLine="420"/>
      </w:pPr>
      <w:r>
        <w:rPr>
          <w:rFonts w:hint="eastAsia"/>
        </w:rPr>
        <w:t>（2）2023年3月15日，乘用车及轻型商用车燃料消耗量限值及指标类标准工作组2023年第一次会议在成都召开，来自国内外主要整车企业、零部件企业、检测机构等单位的170余位专家代表参加会议。起草组于会前发送了标准草案，并就相关内容进行了具体说明。会议重点就大质量拐点、限值要求、PHEV适用性、特殊车型等进行了交流。</w:t>
      </w:r>
    </w:p>
    <w:p>
      <w:pPr>
        <w:spacing w:line="400" w:lineRule="exact"/>
        <w:ind w:firstLine="420"/>
      </w:pPr>
      <w:r>
        <w:rPr>
          <w:rFonts w:hint="eastAsia"/>
        </w:rPr>
        <w:t>（3）2023年6月13日，乘用车及轻型商用车燃料消耗量限值及指标类标准工作组2023年第二次会议在长春召开，来自国内外主要整车企业、零部件企业、检测机构等单位的140余位专家代表参加会议。会议重点就限值要求、PHEV适用性、四驱车型放宽要求、同一型式判定进行了讨论。</w:t>
      </w:r>
    </w:p>
    <w:p>
      <w:pPr>
        <w:spacing w:line="400" w:lineRule="exact"/>
        <w:ind w:firstLine="420"/>
      </w:pPr>
      <w:r>
        <w:rPr>
          <w:rFonts w:hint="eastAsia"/>
        </w:rPr>
        <w:t>（4）2023年10月18日，乘用车及轻型商用车燃料消耗量限值及指标类标准工作组2023年第三次会议在重庆召开，来自国内外主要整车企业、零部件企业、检测机构等单位的130余位专家代表参加会议。与会代表希望对占比极少的高性能车给予一定程度的放宽或豁免，并讨论明确三排座椅车型和四驱车型给予3%的放宽，大质量拐点调整为2710kg。</w:t>
      </w:r>
    </w:p>
    <w:p>
      <w:pPr>
        <w:spacing w:line="400" w:lineRule="exact"/>
        <w:ind w:firstLine="420"/>
      </w:pPr>
      <w:r>
        <w:rPr>
          <w:rFonts w:hint="eastAsia"/>
        </w:rPr>
        <w:t>（5）2024年3月26日，乘用车及轻型商用车燃料消耗量限值及指标类标准工作组2024年第一次会议在合肥召开，来自国内外主要整车企业、零部件企业、检测机构等单位的140余位专家代表参加会议。会议对标准的总体框架、适用范围、加严力度、同一型式等核心技术内容进行讨论并达成一致意见，提出后续需就高性能车型及最高车速低于工况的车型开展针对性讨论。</w:t>
      </w:r>
    </w:p>
    <w:p>
      <w:pPr>
        <w:spacing w:line="400" w:lineRule="exact"/>
        <w:ind w:firstLine="420"/>
      </w:pPr>
      <w:r>
        <w:rPr>
          <w:rFonts w:hint="eastAsia"/>
        </w:rPr>
        <w:t>（6）2024年4月24日，起草组组织召开了最高车速低于工况的车型电耗限值专项研讨会，来自国内外相关整车企业、检测机构等单位的24位专家代表参加会议。会议围绕量产及在研车型电耗表现及降耗难点、车型技术特点及市场定位等开展深入研讨，讨论确定将取消加严系数的要求。</w:t>
      </w:r>
    </w:p>
    <w:p>
      <w:pPr>
        <w:spacing w:line="400" w:lineRule="exact"/>
        <w:ind w:firstLine="420"/>
      </w:pPr>
      <w:r>
        <w:rPr>
          <w:rFonts w:hint="eastAsia"/>
        </w:rPr>
        <w:t>（7）2024年4月25日、6月12日、7月4日和7月27日，围绕高性能车技术条件及电耗管理方案路线组织召开4次专项讨论会议，来自国内外相关整车企业、检测机构等单位的累计近150位专家代表参加会议。会议围绕高新能车技术特点、电耗表现、限值要求等进行充分研讨，提出通过设置相关技术门槛要求以准确识别出高性能车型，并给予一定的限值放宽。</w:t>
      </w:r>
    </w:p>
    <w:p>
      <w:pPr>
        <w:spacing w:line="400" w:lineRule="exact"/>
        <w:ind w:firstLine="420"/>
      </w:pPr>
      <w:r>
        <w:rPr>
          <w:rFonts w:hint="eastAsia"/>
        </w:rPr>
        <w:t>此外，还开展了相关调研和交流。总体技术会议及研究活动如下：</w:t>
      </w:r>
    </w:p>
    <w:p>
      <w:pPr>
        <w:spacing w:line="400" w:lineRule="exact"/>
        <w:ind w:firstLine="0" w:firstLineChars="0"/>
        <w:jc w:val="center"/>
        <w:rPr>
          <w:rFonts w:eastAsia="黑体" w:cs="Calibri"/>
          <w:szCs w:val="21"/>
        </w:rPr>
      </w:pPr>
      <w:r>
        <w:rPr>
          <w:rFonts w:eastAsia="黑体" w:cs="Calibri"/>
          <w:szCs w:val="21"/>
        </w:rPr>
        <w:t>表</w:t>
      </w:r>
      <w:r>
        <w:rPr>
          <w:rFonts w:hint="eastAsia" w:eastAsia="黑体" w:cs="Calibri"/>
          <w:szCs w:val="21"/>
        </w:rPr>
        <w:t xml:space="preserve">1 </w:t>
      </w:r>
      <w:r>
        <w:rPr>
          <w:rFonts w:eastAsia="黑体" w:cs="Calibri"/>
          <w:szCs w:val="21"/>
        </w:rPr>
        <w:t>主要技术会议及研究活动</w:t>
      </w:r>
    </w:p>
    <w:tbl>
      <w:tblPr>
        <w:tblStyle w:val="9"/>
        <w:tblW w:w="8525" w:type="dxa"/>
        <w:jc w:val="center"/>
        <w:tblLayout w:type="autofit"/>
        <w:tblCellMar>
          <w:top w:w="0" w:type="dxa"/>
          <w:left w:w="0" w:type="dxa"/>
          <w:bottom w:w="0" w:type="dxa"/>
          <w:right w:w="0" w:type="dxa"/>
        </w:tblCellMar>
      </w:tblPr>
      <w:tblGrid>
        <w:gridCol w:w="1649"/>
        <w:gridCol w:w="2856"/>
        <w:gridCol w:w="4020"/>
      </w:tblGrid>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ascii="黑体" w:hAnsi="黑体" w:eastAsia="黑体"/>
                <w:b/>
                <w:bCs/>
                <w:kern w:val="24"/>
                <w:szCs w:val="21"/>
              </w:rPr>
            </w:pPr>
            <w:r>
              <w:rPr>
                <w:rFonts w:ascii="黑体" w:hAnsi="黑体" w:eastAsia="黑体"/>
                <w:b/>
                <w:bCs/>
                <w:kern w:val="24"/>
                <w:szCs w:val="21"/>
              </w:rPr>
              <w:t>时间</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ascii="黑体" w:hAnsi="黑体" w:eastAsia="黑体"/>
                <w:b/>
                <w:bCs/>
                <w:kern w:val="24"/>
                <w:szCs w:val="21"/>
              </w:rPr>
            </w:pPr>
            <w:r>
              <w:rPr>
                <w:rFonts w:ascii="黑体" w:hAnsi="黑体" w:eastAsia="黑体"/>
                <w:b/>
                <w:bCs/>
                <w:kern w:val="24"/>
                <w:szCs w:val="21"/>
              </w:rPr>
              <w:t>会议活动</w:t>
            </w: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ascii="黑体" w:hAnsi="黑体" w:eastAsia="黑体"/>
                <w:b/>
                <w:bCs/>
                <w:kern w:val="24"/>
                <w:szCs w:val="21"/>
              </w:rPr>
            </w:pPr>
            <w:r>
              <w:rPr>
                <w:rFonts w:ascii="黑体" w:hAnsi="黑体" w:eastAsia="黑体"/>
                <w:b/>
                <w:bCs/>
                <w:kern w:val="24"/>
                <w:szCs w:val="21"/>
              </w:rPr>
              <w:t>主要工作</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2</w:t>
            </w:r>
            <w:r>
              <w:rPr>
                <w:rFonts w:hAnsi="宋体"/>
                <w:kern w:val="24"/>
                <w:szCs w:val="21"/>
              </w:rPr>
              <w:t>02</w:t>
            </w:r>
            <w:r>
              <w:rPr>
                <w:rFonts w:hint="eastAsia" w:hAnsi="宋体"/>
                <w:kern w:val="24"/>
                <w:szCs w:val="21"/>
              </w:rPr>
              <w:t>1年1</w:t>
            </w:r>
            <w:r>
              <w:rPr>
                <w:rFonts w:hAnsi="宋体"/>
                <w:kern w:val="24"/>
                <w:szCs w:val="21"/>
              </w:rPr>
              <w:t>-</w:t>
            </w:r>
            <w:r>
              <w:rPr>
                <w:rFonts w:hint="eastAsia" w:hAnsi="宋体"/>
                <w:kern w:val="24"/>
                <w:szCs w:val="21"/>
              </w:rPr>
              <w:t>2月</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标准预研，国家相关文件要求梳理分析</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2021年3月24日</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乘用车及轻型商用车燃料消耗量限值及指标类标准工作组2021年第一次会议</w:t>
            </w: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通报标准预研情况，提出标准主体研究框架及研究要点</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2021年4月</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标准立项材料准备</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2021年5月18日</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汽车节能分技术委员会标准审查会</w:t>
            </w: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标准立项审议，通过标准立项建议</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2021年6-8月</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就标准属性、适用范围、指标要求、制定基准、质量拐点、特殊车型、评价体系等开展行业调研</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2021年9月27日</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rPr>
              <w:t>标准专项研究组第一次会议</w:t>
            </w: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介绍了标准的预研情况，并邀请国内主流企业、检验机构就限值标准修订的关键问题进行了专题介绍</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2021年10月</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对工作组意见进行梳理</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2021年11月</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rPr>
              <w:t>电动汽车整车标准工作组2021年第二次会议</w:t>
            </w: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围绕标准修订建议、不同车型结构趋势、节能技术潜力、成本等开展专项调研</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2021年12月-2022年5月</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就车型结构、节能技术潜力及成本、现阶段技术水平等开展行业调研，并就调研情况进行梳理，完善研究思路</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2022年6月1日</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rPr>
              <w:t>标准专项研究组第二次会议</w:t>
            </w: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就</w:t>
            </w:r>
            <w:r>
              <w:rPr>
                <w:rFonts w:hint="eastAsia"/>
              </w:rPr>
              <w:t>电耗目标、评价方式及质量范围、节能技术、新技术发展、实施周期等核心问题</w:t>
            </w:r>
            <w:r>
              <w:rPr>
                <w:rFonts w:hint="eastAsia" w:hAnsi="宋体"/>
                <w:kern w:val="24"/>
                <w:szCs w:val="21"/>
              </w:rPr>
              <w:t>进行了讨论</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2022年7-10月</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就标准涉及的研究内容开展针对性研究</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Ansi="宋体"/>
                <w:spacing w:val="-11"/>
                <w:kern w:val="24"/>
                <w:szCs w:val="21"/>
              </w:rPr>
              <w:t>2022年11月18</w:t>
            </w:r>
            <w:r>
              <w:rPr>
                <w:rFonts w:hint="eastAsia" w:hAnsi="宋体"/>
                <w:spacing w:val="-11"/>
                <w:kern w:val="24"/>
                <w:szCs w:val="21"/>
              </w:rPr>
              <w:t>日</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rPr>
              <w:t>乘用车及轻型商用车燃料消耗量限值及指标类标准工作组2022年第二次会议</w:t>
            </w: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rPr>
              <w:t>明确标准仅包含乘用车型，并将采用线性的方式以整备质量为基准制定，并围绕其他重点议题进行了讨论</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2022年12月-2023年2月</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根据前期研究情况、专项调研及会议讨论，修订形成第一版标准草案</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2023年3月15日</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rPr>
              <w:t>乘用车及轻型商用车燃料消耗量限值及指标类标准工作组2023年第一次会议</w:t>
            </w: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围绕标准草案内容进行讨论，形成方向性建议</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2023年4月</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就第一版标准草案在工作组范围内开展意见征集</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2023年5月</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梳理行业意见，形成第二版标准草案</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2023年6月13日</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rPr>
              <w:t>乘用车及轻型商用车燃料消耗量限值及指标类标准工作组2023年第二次会议</w:t>
            </w: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就第二版标准草案进行讨论，形成相关意见和结论</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2023年7-9月</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结合意见反馈及会议讨论情况，就限值要求、特殊车型等开展进一步研究</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Ansi="宋体"/>
                <w:spacing w:val="-11"/>
                <w:kern w:val="24"/>
                <w:szCs w:val="21"/>
              </w:rPr>
              <w:t>2023年10月18</w:t>
            </w:r>
            <w:r>
              <w:rPr>
                <w:rFonts w:hint="eastAsia" w:hAnsi="宋体"/>
                <w:spacing w:val="-11"/>
                <w:kern w:val="24"/>
                <w:szCs w:val="21"/>
              </w:rPr>
              <w:t>日</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rPr>
              <w:t>乘用车及轻型商用车燃料消耗量限值及指标类标准工作组2023年第三次会议</w:t>
            </w: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就高性能车及其他特殊形成要求进行讨论，限值力度形成一致意见</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2023年11-12月</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根据行业意见及会议讨论，修改形成第三版标准草案，并在工作组范围内开展意见征集</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2024年1-2月</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梳理行业意见，更新标准草案</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2024年3月26日</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rPr>
              <w:t>乘用车及轻型商用车燃料消耗量限值及指标类标准工作组2024年第一次会议</w:t>
            </w: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就更新后的标准方案进行讨论，提出部分修改建议，核心内容基本达成一致意见</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rPr>
              <w:t>2024年4月24日</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pPr>
            <w:r>
              <w:rPr>
                <w:rFonts w:hint="eastAsia"/>
              </w:rPr>
              <w:t>最高车速较低车型专项研讨会</w:t>
            </w: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rPr>
              <w:t>讨论确定将取消最高车速低于工况的车型加严系数的要求</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2024年4月-7月</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围绕高性能车电耗管理开展4次专项研讨会</w:t>
            </w: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讨论明确就高性能车技术条件及电耗限值要求，修改形成征求意见稿</w:t>
            </w:r>
          </w:p>
        </w:tc>
      </w:tr>
      <w:tr>
        <w:tblPrEx>
          <w:tblCellMar>
            <w:top w:w="0" w:type="dxa"/>
            <w:left w:w="0" w:type="dxa"/>
            <w:bottom w:w="0" w:type="dxa"/>
            <w:right w:w="0" w:type="dxa"/>
          </w:tblCellMar>
        </w:tblPrEx>
        <w:trPr>
          <w:trHeight w:val="680" w:hRule="atLeast"/>
          <w:jc w:val="center"/>
        </w:trPr>
        <w:tc>
          <w:tcPr>
            <w:tcW w:w="16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2024年8月</w:t>
            </w:r>
          </w:p>
        </w:tc>
        <w:tc>
          <w:tcPr>
            <w:tcW w:w="285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p>
        </w:tc>
        <w:tc>
          <w:tcPr>
            <w:tcW w:w="402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before="30" w:after="30" w:line="240" w:lineRule="auto"/>
              <w:ind w:firstLine="0" w:firstLineChars="0"/>
              <w:jc w:val="center"/>
              <w:textAlignment w:val="center"/>
              <w:rPr>
                <w:rFonts w:hint="eastAsia" w:hAnsi="宋体"/>
                <w:kern w:val="24"/>
                <w:szCs w:val="21"/>
              </w:rPr>
            </w:pPr>
            <w:r>
              <w:rPr>
                <w:rFonts w:hint="eastAsia" w:hAnsi="宋体"/>
                <w:kern w:val="24"/>
                <w:szCs w:val="21"/>
              </w:rPr>
              <w:t>开展标准公开意见征集</w:t>
            </w:r>
          </w:p>
        </w:tc>
      </w:tr>
    </w:tbl>
    <w:p>
      <w:pPr>
        <w:numPr>
          <w:ilvl w:val="0"/>
          <w:numId w:val="1"/>
        </w:numPr>
        <w:autoSpaceDE w:val="0"/>
        <w:autoSpaceDN w:val="0"/>
        <w:adjustRightInd w:val="0"/>
        <w:spacing w:before="156" w:beforeLines="50" w:after="156" w:afterLines="50" w:line="400" w:lineRule="exact"/>
        <w:ind w:left="567" w:hanging="567" w:firstLineChars="0"/>
        <w:jc w:val="left"/>
        <w:outlineLvl w:val="0"/>
        <w:rPr>
          <w:rFonts w:hint="eastAsia" w:ascii="黑体" w:hAnsi="黑体" w:eastAsia="黑体" w:cs="宋体"/>
          <w:bCs/>
          <w:color w:val="000000"/>
          <w:kern w:val="0"/>
          <w:sz w:val="24"/>
        </w:rPr>
      </w:pPr>
      <w:bookmarkStart w:id="32" w:name="_Toc64898476"/>
      <w:r>
        <w:rPr>
          <w:rFonts w:hint="eastAsia" w:ascii="黑体" w:hAnsi="黑体" w:eastAsia="黑体" w:cs="宋体"/>
          <w:bCs/>
          <w:color w:val="000000"/>
          <w:kern w:val="0"/>
          <w:sz w:val="24"/>
        </w:rPr>
        <w:t>编制原则、强制性国家标准主要技术要求的依据及理由</w:t>
      </w:r>
      <w:bookmarkEnd w:id="32"/>
    </w:p>
    <w:p>
      <w:pPr>
        <w:spacing w:line="400" w:lineRule="exact"/>
        <w:ind w:firstLine="422"/>
        <w:rPr>
          <w:b/>
          <w:bCs/>
        </w:rPr>
      </w:pPr>
      <w:r>
        <w:rPr>
          <w:rFonts w:hint="eastAsia"/>
          <w:b/>
          <w:bCs/>
        </w:rPr>
        <w:t>1. 编制原则</w:t>
      </w:r>
    </w:p>
    <w:p>
      <w:pPr>
        <w:spacing w:line="400" w:lineRule="exact"/>
        <w:ind w:firstLine="420"/>
      </w:pPr>
      <w:r>
        <w:rPr>
          <w:rFonts w:hint="eastAsia"/>
        </w:rPr>
        <w:t>开展电动乘用车能量消耗量限值标准制定具有重要现实意义。对国家而言，标准修订是减少能源消耗量、落实国家双碳目标的有效支撑；对行业而言，标准修订是促进汽车产业低碳发展、提升全球汽车竞争力的重要措施；对企业来说，无论节能技术的研发、测试到导入，还是新产品的规划、设计到量产，均需要较长周期准备，节能标准尽早制定使企业有充分时间进行应对，促进低能耗的汽车产品开发和生产。</w:t>
      </w:r>
    </w:p>
    <w:p>
      <w:pPr>
        <w:spacing w:line="400" w:lineRule="exact"/>
        <w:ind w:firstLine="420"/>
      </w:pPr>
      <w:r>
        <w:t>标准制定</w:t>
      </w:r>
      <w:r>
        <w:rPr>
          <w:rFonts w:hint="eastAsia"/>
        </w:rPr>
        <w:t>主要考虑三方面原则</w:t>
      </w:r>
      <w:r>
        <w:t>，一</w:t>
      </w:r>
      <w:r>
        <w:rPr>
          <w:rFonts w:hint="eastAsia"/>
        </w:rPr>
        <w:t>是指标先进性，一方面要考虑行业现行技术水平，也要考虑未来技术发展，综合评估后给出具有一定前瞻性及可执行性的指标要求；二是技术可行性，</w:t>
      </w:r>
      <w:r>
        <w:t>充分考虑了我国</w:t>
      </w:r>
      <w:r>
        <w:rPr>
          <w:rFonts w:hint="eastAsia"/>
        </w:rPr>
        <w:t>乘用车</w:t>
      </w:r>
      <w:r>
        <w:t>行业的节能技术潜力和成本</w:t>
      </w:r>
      <w:r>
        <w:rPr>
          <w:rFonts w:hint="eastAsia"/>
        </w:rPr>
        <w:t>，避免技术限制或成本过高对企业造成较大影响；三是标准协调性，基于中国工况的电耗测试方法已发布实施，现行标准采用的前序版本测试方法已不适用，需基于新版测试方法重新制定限值要求。</w:t>
      </w:r>
      <w:r>
        <w:t>综合</w:t>
      </w:r>
      <w:r>
        <w:rPr>
          <w:rFonts w:hint="eastAsia"/>
        </w:rPr>
        <w:t>三</w:t>
      </w:r>
      <w:r>
        <w:t>方面因素确定限值</w:t>
      </w:r>
      <w:r>
        <w:rPr>
          <w:rFonts w:hint="eastAsia"/>
        </w:rPr>
        <w:t>要求</w:t>
      </w:r>
      <w:r>
        <w:t>。</w:t>
      </w:r>
    </w:p>
    <w:p>
      <w:pPr>
        <w:spacing w:line="400" w:lineRule="exact"/>
        <w:ind w:firstLine="422"/>
        <w:rPr>
          <w:b/>
          <w:bCs/>
        </w:rPr>
      </w:pPr>
      <w:r>
        <w:rPr>
          <w:rFonts w:hint="eastAsia"/>
          <w:b/>
          <w:bCs/>
        </w:rPr>
        <w:t>2. 主要技术内容</w:t>
      </w:r>
    </w:p>
    <w:p>
      <w:pPr>
        <w:spacing w:line="400" w:lineRule="exact"/>
        <w:ind w:firstLine="420"/>
      </w:pPr>
      <w:r>
        <w:rPr>
          <w:rFonts w:hint="eastAsia"/>
        </w:rPr>
        <w:t>标准适用于最大设计总质量不超过3 500 kg的M</w:t>
      </w:r>
      <w:r>
        <w:rPr>
          <w:rFonts w:hint="eastAsia"/>
          <w:vertAlign w:val="subscript"/>
        </w:rPr>
        <w:t>1</w:t>
      </w:r>
      <w:r>
        <w:rPr>
          <w:rFonts w:hint="eastAsia"/>
        </w:rPr>
        <w:t>类纯电动汽车。标准规定了纯电动乘用车能量消耗量限值、型式认证的申请和确定、生产一致性、同一型式判定等内容。</w:t>
      </w:r>
    </w:p>
    <w:p>
      <w:pPr>
        <w:spacing w:line="400" w:lineRule="exact"/>
        <w:ind w:firstLine="420"/>
      </w:pPr>
      <w:r>
        <w:rPr>
          <w:rFonts w:hint="eastAsia"/>
        </w:rPr>
        <w:t>本次修订的主要技术变化主要是：结合国家管理要求、技术进步预期、工况切换影响等，对乘用车车型能量消耗量限值要求进行更新，通过提高车型能量消耗量门槛要求，将有效降低车型能量消耗量水平、遏制车辆大型化发展趋势，防止现有总体平均能量消耗量水平出现反弹。</w:t>
      </w:r>
    </w:p>
    <w:p>
      <w:pPr>
        <w:spacing w:line="400" w:lineRule="exact"/>
        <w:ind w:firstLine="422"/>
        <w:rPr>
          <w:b/>
          <w:bCs/>
        </w:rPr>
      </w:pPr>
      <w:r>
        <w:rPr>
          <w:rFonts w:hint="eastAsia"/>
          <w:b/>
          <w:bCs/>
        </w:rPr>
        <w:t>（1）节能目标</w:t>
      </w:r>
    </w:p>
    <w:p>
      <w:pPr>
        <w:spacing w:line="400" w:lineRule="exact"/>
        <w:ind w:firstLine="420"/>
      </w:pPr>
      <w:r>
        <w:rPr>
          <w:rFonts w:hint="eastAsia"/>
        </w:rPr>
        <w:t>1）国家目标层面</w:t>
      </w:r>
    </w:p>
    <w:p>
      <w:pPr>
        <w:spacing w:line="400" w:lineRule="exact"/>
        <w:ind w:firstLine="420"/>
      </w:pPr>
      <w:r>
        <w:rPr>
          <w:rFonts w:hint="eastAsia"/>
        </w:rPr>
        <w:t>2017年4月，工业和信息化部、国家发展改革委、科技部联合印发了《汽车产业中长期发展规划》，提出：“到2025年，新能源汽车能耗处于国际先进水平”。2020年11月，国务院印发的《新能源汽车产业发展规划（2021-2035年）》中提出：“到2025年，纯电动乘用车新车平均电耗降至12.0千瓦时/百公里，新能源汽车新车销售量达到汽车新车销售总量的20%左右。”</w:t>
      </w:r>
    </w:p>
    <w:p>
      <w:pPr>
        <w:spacing w:line="400" w:lineRule="exact"/>
        <w:ind w:firstLine="420"/>
      </w:pPr>
      <w:r>
        <w:rPr>
          <w:rFonts w:hint="eastAsia"/>
        </w:rPr>
        <w:t>为了实现《规划》目标，一方面需要跟踪国外产业现状，同时也要考虑我国产业实际表现及节能潜力。标准研究过程中国内外主流整车企业广泛参与，车型数据也得到充分反馈，综合评估后提出限值方案将以现阶段行业平均水平为基准，通过合理适当调整后形成限值方案。</w:t>
      </w:r>
    </w:p>
    <w:p>
      <w:pPr>
        <w:spacing w:line="400" w:lineRule="exact"/>
        <w:ind w:firstLine="420"/>
      </w:pPr>
      <w:r>
        <w:rPr>
          <w:rFonts w:hint="eastAsia"/>
        </w:rPr>
        <w:t>2）标准政策层面</w:t>
      </w:r>
    </w:p>
    <w:p>
      <w:pPr>
        <w:spacing w:line="400" w:lineRule="exact"/>
        <w:ind w:firstLine="420"/>
      </w:pPr>
      <w:r>
        <w:rPr>
          <w:rFonts w:hint="eastAsia"/>
        </w:rPr>
        <w:t>对纯电动乘用车电耗提出指标要求的产业政策主要有双积分和补贴，二者均提出了多阶段电耗要求以鼓励先进节能技术的发展。其中，双积分政策提出了1倍和1</w:t>
      </w:r>
      <w:r>
        <w:t>.5</w:t>
      </w:r>
      <w:r>
        <w:rPr>
          <w:rFonts w:hint="eastAsia"/>
        </w:rPr>
        <w:t>倍积分两个阶段的要求；补贴政策提出了0</w:t>
      </w:r>
      <w:r>
        <w:t>.8</w:t>
      </w:r>
      <w:r>
        <w:rPr>
          <w:rFonts w:hint="eastAsia"/>
        </w:rPr>
        <w:t>倍、1倍和1</w:t>
      </w:r>
      <w:r>
        <w:t>.1</w:t>
      </w:r>
      <w:r>
        <w:rPr>
          <w:rFonts w:hint="eastAsia"/>
        </w:rPr>
        <w:t>倍补贴三个阶段的要求。随着倍率的提高，电耗均呈现加严趋势。两种产业政策的电耗要求与标准的对比如图1所示。</w:t>
      </w:r>
    </w:p>
    <w:p>
      <w:pPr>
        <w:spacing w:line="400" w:lineRule="exact"/>
        <w:ind w:firstLine="420"/>
      </w:pPr>
      <w:r>
        <w:rPr>
          <w:rFonts w:hint="eastAsia"/>
        </w:rPr>
        <w:t>由图1可以看出，标准与产业政策中的电耗要求显著不同。形式上，标准与2</w:t>
      </w:r>
      <w:r>
        <w:t>021</w:t>
      </w:r>
      <w:r>
        <w:rPr>
          <w:rFonts w:hint="eastAsia"/>
        </w:rPr>
        <w:t>年以前乘用车油耗要求一致，采取阶梯型的方式，对于同一阶梯跨度在约1</w:t>
      </w:r>
      <w:r>
        <w:t>00</w:t>
      </w:r>
      <w:r>
        <w:rPr>
          <w:rFonts w:hint="eastAsia"/>
        </w:rPr>
        <w:t>kg以内的车型采取同一电耗要求；双积分及补贴政策以1</w:t>
      </w:r>
      <w:r>
        <w:t>000</w:t>
      </w:r>
      <w:r>
        <w:rPr>
          <w:rFonts w:hint="eastAsia"/>
        </w:rPr>
        <w:t>kg和1</w:t>
      </w:r>
      <w:r>
        <w:t>600</w:t>
      </w:r>
      <w:r>
        <w:rPr>
          <w:rFonts w:hint="eastAsia"/>
        </w:rPr>
        <w:t>kg为分界点，采取三段式的线型要求。趋势上，标准规定的限值斜率较低，即电耗随质量的增加变化缓慢；双积分和补贴政策三段式的斜率逐渐降低，最高倍率的高质量段斜率与标准相近。指标上，标准规定的第一阶段限值最宽松，第二阶段限值在高质量段适当严于双积分和补贴政策的门槛值，显著松于政策中最高倍率的电耗要求。</w:t>
      </w:r>
    </w:p>
    <w:p>
      <w:pPr>
        <w:spacing w:line="240" w:lineRule="auto"/>
        <w:ind w:firstLine="0" w:firstLineChars="0"/>
        <w:jc w:val="center"/>
        <w:rPr>
          <w:rFonts w:eastAsia="黑体" w:cs="Calibri"/>
          <w:szCs w:val="21"/>
        </w:rPr>
      </w:pPr>
      <w:r>
        <w:object>
          <v:shape id="_x0000_i1025" o:spt="75" type="#_x0000_t75" style="height:200.5pt;width:288pt;" o:ole="t" filled="f" o:preferrelative="t" stroked="f" coordsize="21600,21600">
            <v:path/>
            <v:fill on="f" focussize="0,0"/>
            <v:stroke on="f" joinstyle="miter"/>
            <v:imagedata r:id="rId17" o:title=""/>
            <o:lock v:ext="edit" aspectratio="t"/>
            <w10:wrap type="none"/>
            <w10:anchorlock/>
          </v:shape>
          <o:OLEObject Type="Embed" ProgID="Origin50.Graph" ShapeID="_x0000_i1025" DrawAspect="Content" ObjectID="_1468075725" r:id="rId16">
            <o:LockedField>false</o:LockedField>
          </o:OLEObject>
        </w:object>
      </w:r>
    </w:p>
    <w:p>
      <w:pPr>
        <w:spacing w:line="400" w:lineRule="exact"/>
        <w:ind w:firstLine="0" w:firstLineChars="0"/>
        <w:jc w:val="center"/>
        <w:rPr>
          <w:rFonts w:eastAsia="黑体" w:cs="Calibri"/>
          <w:szCs w:val="21"/>
        </w:rPr>
      </w:pPr>
      <w:r>
        <w:rPr>
          <w:rFonts w:hint="eastAsia" w:eastAsia="黑体" w:cs="Calibri"/>
          <w:szCs w:val="21"/>
        </w:rPr>
        <w:t>图1 标准及产业政策电耗指标</w:t>
      </w:r>
    </w:p>
    <w:p>
      <w:pPr>
        <w:spacing w:line="400" w:lineRule="exact"/>
        <w:ind w:firstLine="420"/>
      </w:pPr>
      <w:r>
        <w:rPr>
          <w:rFonts w:hint="eastAsia"/>
        </w:rPr>
        <w:t>目前，补贴政策已于2</w:t>
      </w:r>
      <w:r>
        <w:t>022</w:t>
      </w:r>
      <w:r>
        <w:rPr>
          <w:rFonts w:hint="eastAsia"/>
        </w:rPr>
        <w:t>年底结束；双积分政策已开展面向2</w:t>
      </w:r>
      <w:r>
        <w:t>030</w:t>
      </w:r>
      <w:r>
        <w:rPr>
          <w:rFonts w:hint="eastAsia"/>
        </w:rPr>
        <w:t>的预研，对于纯电动乘用车，将重点以电耗水平为赋分条件，并计划以国家标准为基准制定指标要求。</w:t>
      </w:r>
    </w:p>
    <w:p>
      <w:pPr>
        <w:spacing w:line="400" w:lineRule="exact"/>
        <w:ind w:firstLine="420"/>
      </w:pPr>
      <w:r>
        <w:rPr>
          <w:rFonts w:hint="eastAsia"/>
        </w:rPr>
        <w:t>另一方面，新版纯电动汽车电耗测试方法标准GB/T 18386.1—2021已发布实施，测试工况及测试规程发生显著变化，按照原测试方法测得的结果及制定的指标要求已不再适用，需基于新版测试方法重新制定限值要求。</w:t>
      </w:r>
    </w:p>
    <w:p>
      <w:pPr>
        <w:spacing w:line="400" w:lineRule="exact"/>
        <w:ind w:firstLine="420"/>
      </w:pPr>
      <w:r>
        <w:rPr>
          <w:rFonts w:hint="eastAsia"/>
        </w:rPr>
        <w:t>3）技术潜力层面</w:t>
      </w:r>
    </w:p>
    <w:p>
      <w:pPr>
        <w:spacing w:line="400" w:lineRule="exact"/>
        <w:ind w:firstLine="420"/>
      </w:pPr>
      <w:r>
        <w:rPr>
          <w:rFonts w:hint="eastAsia"/>
        </w:rPr>
        <w:t>为了系统研究纯电动乘用车技术降耗潜力，标准起草组在行业范围内开展了节能技术调查，收集轮胎、卡钳、电机、能量回收等方面20余项技术的节能潜力、成本、当前应用比例以及2025年比例预测，以此为基础开展纯电动乘用车节能技术潜力和成本分析。</w:t>
      </w:r>
    </w:p>
    <w:p>
      <w:pPr>
        <w:spacing w:line="400" w:lineRule="exact"/>
        <w:ind w:firstLine="420"/>
        <w:rPr>
          <w:rFonts w:eastAsia="黑体" w:cs="Calibri"/>
          <w:szCs w:val="21"/>
        </w:rPr>
      </w:pPr>
      <w:r>
        <w:rPr>
          <w:rFonts w:hint="eastAsia"/>
        </w:rPr>
        <w:t>图2为调研得到的相应节能技术最大和最小的节能效果，对应图4保守和激进情景下的综合节能潜力；图3给出了各项节能技术现阶段搭载率及未来搭载预期，两者差值即为相应技术搭载率的提升水平；结合图2和图3即可得到图4保守和激进情景下的综合节能潜力，温和情景为二者的平均。</w:t>
      </w:r>
    </w:p>
    <w:p>
      <w:pPr>
        <w:ind w:firstLine="0" w:firstLineChars="0"/>
        <w:jc w:val="center"/>
      </w:pPr>
      <w:r>
        <w:drawing>
          <wp:inline distT="0" distB="0" distL="0" distR="0">
            <wp:extent cx="3660140" cy="2555875"/>
            <wp:effectExtent l="0" t="0" r="0" b="0"/>
            <wp:docPr id="982131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31158" name="图片 1"/>
                    <pic:cNvPicPr>
                      <a:picLocks noChangeAspect="1"/>
                    </pic:cNvPicPr>
                  </pic:nvPicPr>
                  <pic:blipFill>
                    <a:blip r:embed="rId18"/>
                    <a:stretch>
                      <a:fillRect/>
                    </a:stretch>
                  </pic:blipFill>
                  <pic:spPr>
                    <a:xfrm>
                      <a:off x="0" y="0"/>
                      <a:ext cx="3660370" cy="2556000"/>
                    </a:xfrm>
                    <a:prstGeom prst="rect">
                      <a:avLst/>
                    </a:prstGeom>
                  </pic:spPr>
                </pic:pic>
              </a:graphicData>
            </a:graphic>
          </wp:inline>
        </w:drawing>
      </w:r>
    </w:p>
    <w:p>
      <w:pPr>
        <w:spacing w:line="400" w:lineRule="exact"/>
        <w:ind w:firstLine="0" w:firstLineChars="0"/>
        <w:jc w:val="center"/>
        <w:rPr>
          <w:rFonts w:eastAsia="黑体" w:cs="Calibri"/>
          <w:szCs w:val="21"/>
        </w:rPr>
      </w:pPr>
      <w:r>
        <w:rPr>
          <w:rFonts w:hint="eastAsia" w:eastAsia="黑体" w:cs="Calibri"/>
          <w:szCs w:val="21"/>
        </w:rPr>
        <w:t>图2节能潜力调研分析</w:t>
      </w:r>
    </w:p>
    <w:p>
      <w:pPr>
        <w:ind w:firstLine="0" w:firstLineChars="0"/>
        <w:jc w:val="center"/>
      </w:pPr>
      <w:r>
        <w:drawing>
          <wp:inline distT="0" distB="0" distL="0" distR="0">
            <wp:extent cx="3601085" cy="2555875"/>
            <wp:effectExtent l="0" t="0" r="0" b="0"/>
            <wp:docPr id="513187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87153" name="图片 1"/>
                    <pic:cNvPicPr>
                      <a:picLocks noChangeAspect="1"/>
                    </pic:cNvPicPr>
                  </pic:nvPicPr>
                  <pic:blipFill>
                    <a:blip r:embed="rId19"/>
                    <a:stretch>
                      <a:fillRect/>
                    </a:stretch>
                  </pic:blipFill>
                  <pic:spPr>
                    <a:xfrm>
                      <a:off x="0" y="0"/>
                      <a:ext cx="3601377" cy="2556000"/>
                    </a:xfrm>
                    <a:prstGeom prst="rect">
                      <a:avLst/>
                    </a:prstGeom>
                  </pic:spPr>
                </pic:pic>
              </a:graphicData>
            </a:graphic>
          </wp:inline>
        </w:drawing>
      </w:r>
    </w:p>
    <w:p>
      <w:pPr>
        <w:spacing w:line="400" w:lineRule="exact"/>
        <w:ind w:firstLine="0" w:firstLineChars="0"/>
        <w:jc w:val="center"/>
        <w:rPr>
          <w:rFonts w:eastAsia="黑体" w:cs="Calibri"/>
          <w:szCs w:val="21"/>
        </w:rPr>
      </w:pPr>
      <w:r>
        <w:rPr>
          <w:rFonts w:hint="eastAsia" w:eastAsia="黑体" w:cs="Calibri"/>
          <w:szCs w:val="21"/>
        </w:rPr>
        <w:t>图3 节能技术搭载率分析</w:t>
      </w:r>
    </w:p>
    <w:p>
      <w:pPr>
        <w:ind w:firstLine="0" w:firstLineChars="0"/>
        <w:jc w:val="center"/>
      </w:pPr>
      <w:r>
        <w:drawing>
          <wp:inline distT="0" distB="0" distL="0" distR="0">
            <wp:extent cx="3626485" cy="2555875"/>
            <wp:effectExtent l="0" t="0" r="0" b="0"/>
            <wp:docPr id="17033030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03029" name="图片 1"/>
                    <pic:cNvPicPr>
                      <a:picLocks noChangeAspect="1"/>
                    </pic:cNvPicPr>
                  </pic:nvPicPr>
                  <pic:blipFill>
                    <a:blip r:embed="rId20"/>
                    <a:stretch>
                      <a:fillRect/>
                    </a:stretch>
                  </pic:blipFill>
                  <pic:spPr>
                    <a:xfrm>
                      <a:off x="0" y="0"/>
                      <a:ext cx="3626603" cy="2556000"/>
                    </a:xfrm>
                    <a:prstGeom prst="rect">
                      <a:avLst/>
                    </a:prstGeom>
                  </pic:spPr>
                </pic:pic>
              </a:graphicData>
            </a:graphic>
          </wp:inline>
        </w:drawing>
      </w:r>
    </w:p>
    <w:p>
      <w:pPr>
        <w:spacing w:line="400" w:lineRule="exact"/>
        <w:ind w:firstLine="0" w:firstLineChars="0"/>
        <w:jc w:val="center"/>
        <w:rPr>
          <w:rFonts w:eastAsia="黑体" w:cs="Calibri"/>
          <w:szCs w:val="21"/>
        </w:rPr>
      </w:pPr>
      <w:r>
        <w:rPr>
          <w:rFonts w:hint="eastAsia" w:eastAsia="黑体" w:cs="Calibri"/>
          <w:szCs w:val="21"/>
        </w:rPr>
        <w:t>图4 不同情境下节能效果分析</w:t>
      </w:r>
    </w:p>
    <w:p>
      <w:pPr>
        <w:ind w:firstLine="0" w:firstLineChars="0"/>
        <w:jc w:val="center"/>
      </w:pPr>
      <w:r>
        <w:drawing>
          <wp:inline distT="0" distB="0" distL="0" distR="0">
            <wp:extent cx="3646805" cy="2555875"/>
            <wp:effectExtent l="0" t="0" r="0" b="0"/>
            <wp:docPr id="18213708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70870" name="图片 1"/>
                    <pic:cNvPicPr>
                      <a:picLocks noChangeAspect="1"/>
                    </pic:cNvPicPr>
                  </pic:nvPicPr>
                  <pic:blipFill>
                    <a:blip r:embed="rId21"/>
                    <a:stretch>
                      <a:fillRect/>
                    </a:stretch>
                  </pic:blipFill>
                  <pic:spPr>
                    <a:xfrm>
                      <a:off x="0" y="0"/>
                      <a:ext cx="3647164" cy="2556000"/>
                    </a:xfrm>
                    <a:prstGeom prst="rect">
                      <a:avLst/>
                    </a:prstGeom>
                  </pic:spPr>
                </pic:pic>
              </a:graphicData>
            </a:graphic>
          </wp:inline>
        </w:drawing>
      </w:r>
    </w:p>
    <w:p>
      <w:pPr>
        <w:spacing w:line="400" w:lineRule="exact"/>
        <w:ind w:firstLine="0" w:firstLineChars="0"/>
        <w:jc w:val="center"/>
        <w:rPr>
          <w:rFonts w:eastAsia="黑体" w:cs="Calibri"/>
          <w:szCs w:val="21"/>
        </w:rPr>
      </w:pPr>
      <w:r>
        <w:rPr>
          <w:rFonts w:hint="eastAsia" w:eastAsia="黑体" w:cs="Calibri"/>
          <w:szCs w:val="21"/>
        </w:rPr>
        <w:t>图5 节能技术成本分析</w:t>
      </w:r>
    </w:p>
    <w:p>
      <w:pPr>
        <w:spacing w:line="400" w:lineRule="exact"/>
        <w:ind w:firstLine="420"/>
        <w:rPr>
          <w:rFonts w:eastAsia="黑体" w:cs="Calibri"/>
          <w:szCs w:val="21"/>
        </w:rPr>
      </w:pPr>
      <w:r>
        <w:rPr>
          <w:rFonts w:hint="eastAsia"/>
        </w:rPr>
        <w:t>图5为各项节能技术对应的行业平均成本。由图4可以得出，保守、温和、激进情景下的节能潜力依次为7.5%、11.53%、15.57%，由图5可进一步看出，除个别技术外，大部分技术成本相对有限，且多为研发成本。</w:t>
      </w:r>
    </w:p>
    <w:p>
      <w:pPr>
        <w:spacing w:line="400" w:lineRule="exact"/>
        <w:ind w:firstLine="422"/>
        <w:rPr>
          <w:b/>
          <w:bCs/>
        </w:rPr>
      </w:pPr>
      <w:r>
        <w:rPr>
          <w:rFonts w:hint="eastAsia"/>
          <w:b/>
          <w:bCs/>
        </w:rPr>
        <w:t>（2）常规车型限值要求</w:t>
      </w:r>
    </w:p>
    <w:p>
      <w:pPr>
        <w:spacing w:line="400" w:lineRule="exact"/>
        <w:ind w:firstLine="420"/>
      </w:pPr>
      <w:r>
        <w:rPr>
          <w:rFonts w:hint="eastAsia"/>
        </w:rPr>
        <w:t>1）限值形式</w:t>
      </w:r>
    </w:p>
    <w:p>
      <w:pPr>
        <w:spacing w:line="400" w:lineRule="exact"/>
        <w:ind w:firstLine="420"/>
      </w:pPr>
      <w:r>
        <w:rPr>
          <w:rFonts w:hint="eastAsia"/>
        </w:rPr>
        <w:t>与阶梯型限值相比，线型限值随着基准参数的变化连续增加或减少，限值设定更为细致。但由于</w:t>
      </w:r>
      <w:bookmarkStart w:id="33" w:name="_Hlk108680075"/>
      <w:r>
        <w:rPr>
          <w:rFonts w:hint="eastAsia"/>
        </w:rPr>
        <w:t>原试验方法标准GB/T 18386—2017</w:t>
      </w:r>
      <w:bookmarkEnd w:id="33"/>
      <w:r>
        <w:rPr>
          <w:rFonts w:hint="eastAsia"/>
        </w:rPr>
        <w:t>采用了国五排放标准G</w:t>
      </w:r>
      <w:r>
        <w:t>B 18352.5</w:t>
      </w:r>
      <w:r>
        <w:rPr>
          <w:rFonts w:hint="eastAsia"/>
        </w:rPr>
        <w:t>—2</w:t>
      </w:r>
      <w:r>
        <w:t>013</w:t>
      </w:r>
      <w:r>
        <w:rPr>
          <w:rFonts w:hint="eastAsia"/>
        </w:rPr>
        <w:t>规定的分段式惯性质量加载方法，若采用线型限值可能出现故意增重而放宽限值的管理漏洞，因此GB/T 36980—2018最终采取了图6所示的阶梯型限值方式。随着新试验方法标准G</w:t>
      </w:r>
      <w:r>
        <w:t>B/T 18386.1</w:t>
      </w:r>
      <w:r>
        <w:rPr>
          <w:rFonts w:hint="eastAsia"/>
        </w:rPr>
        <w:t>—2</w:t>
      </w:r>
      <w:r>
        <w:t>021</w:t>
      </w:r>
      <w:r>
        <w:rPr>
          <w:rFonts w:hint="eastAsia"/>
        </w:rPr>
        <w:t>的发布实施，加载方式也随之更新为国六排放标准G</w:t>
      </w:r>
      <w:r>
        <w:t>B 18352.6</w:t>
      </w:r>
      <w:r>
        <w:rPr>
          <w:rFonts w:hint="eastAsia"/>
        </w:rPr>
        <w:t>—2</w:t>
      </w:r>
      <w:r>
        <w:t>016</w:t>
      </w:r>
      <w:r>
        <w:rPr>
          <w:rFonts w:hint="eastAsia"/>
        </w:rPr>
        <w:t>规定的连续性加载，因此具备了采取线性限值的先期条件。</w:t>
      </w:r>
    </w:p>
    <w:p>
      <w:pPr>
        <w:ind w:firstLine="0" w:firstLineChars="0"/>
        <w:jc w:val="center"/>
      </w:pPr>
      <w:r>
        <w:object>
          <v:shape id="_x0000_i1026" o:spt="75" type="#_x0000_t75" style="height:187pt;width:268pt;" o:ole="t" filled="f" o:preferrelative="t" stroked="f" coordsize="21600,21600">
            <v:path/>
            <v:fill on="f" focussize="0,0"/>
            <v:stroke on="f" joinstyle="miter"/>
            <v:imagedata r:id="rId23" o:title=""/>
            <o:lock v:ext="edit" aspectratio="t"/>
            <w10:wrap type="none"/>
            <w10:anchorlock/>
          </v:shape>
          <o:OLEObject Type="Embed" ProgID="Origin50.Graph" ShapeID="_x0000_i1026" DrawAspect="Content" ObjectID="_1468075726" r:id="rId22">
            <o:LockedField>false</o:LockedField>
          </o:OLEObject>
        </w:object>
      </w:r>
    </w:p>
    <w:p>
      <w:pPr>
        <w:spacing w:line="400" w:lineRule="exact"/>
        <w:ind w:firstLine="0" w:firstLineChars="0"/>
        <w:jc w:val="center"/>
        <w:rPr>
          <w:rFonts w:eastAsia="黑体" w:cs="Calibri"/>
          <w:szCs w:val="21"/>
        </w:rPr>
      </w:pPr>
      <w:r>
        <w:rPr>
          <w:rFonts w:hint="eastAsia" w:eastAsia="黑体" w:cs="Calibri"/>
          <w:szCs w:val="21"/>
        </w:rPr>
        <w:t>图6 上一版本限值线性分析</w:t>
      </w:r>
    </w:p>
    <w:p>
      <w:pPr>
        <w:spacing w:line="400" w:lineRule="exact"/>
        <w:ind w:firstLine="420"/>
      </w:pPr>
      <w:r>
        <w:rPr>
          <w:rFonts w:hint="eastAsia"/>
        </w:rPr>
        <w:t>另一方面，结合图6中两个阶段限值的线性分析可以看出，尽管GB/T 36980—2018在型式上采取了阶梯型，但整体上呈现强线性相关性。因此，为实现纯电动乘用车电耗更加科学和精细化的管理，</w:t>
      </w:r>
      <w:r>
        <w:rPr>
          <w:rFonts w:hint="eastAsia"/>
          <w:b/>
          <w:bCs/>
        </w:rPr>
        <w:t>本标准将以线型的方式制定。</w:t>
      </w:r>
    </w:p>
    <w:p>
      <w:pPr>
        <w:spacing w:line="400" w:lineRule="exact"/>
        <w:ind w:firstLine="420"/>
      </w:pPr>
      <w:r>
        <w:rPr>
          <w:rFonts w:hint="eastAsia"/>
        </w:rPr>
        <w:t>2）质量基准</w:t>
      </w:r>
    </w:p>
    <w:p>
      <w:pPr>
        <w:spacing w:line="400" w:lineRule="exact"/>
        <w:ind w:firstLine="420"/>
      </w:pPr>
      <w:r>
        <w:rPr>
          <w:rFonts w:hint="eastAsia"/>
        </w:rPr>
        <w:t>原试验方法标准GB/T 18386—2017采取的测试质量为“整备质量+</w:t>
      </w:r>
      <w:r>
        <w:t>100</w:t>
      </w:r>
      <w:r>
        <w:rPr>
          <w:rFonts w:hint="eastAsia"/>
        </w:rPr>
        <w:t>kg”，因此采取整备质量和测试质量制定限值的严格程度完成一致。新试验方法标准G</w:t>
      </w:r>
      <w:r>
        <w:t>B/T 18386.1</w:t>
      </w:r>
      <w:r>
        <w:rPr>
          <w:rFonts w:hint="eastAsia"/>
        </w:rPr>
        <w:t>—2</w:t>
      </w:r>
      <w:r>
        <w:t>021</w:t>
      </w:r>
      <w:r>
        <w:rPr>
          <w:rFonts w:hint="eastAsia"/>
        </w:rPr>
        <w:t>下，测试质量调整为“整备质量+</w:t>
      </w:r>
      <w:r>
        <w:t>100</w:t>
      </w:r>
      <w:r>
        <w:rPr>
          <w:rFonts w:hint="eastAsia"/>
        </w:rPr>
        <w:t>kg</w:t>
      </w:r>
      <w:r>
        <w:t>+</w:t>
      </w:r>
      <w:r>
        <w:rPr>
          <w:rFonts w:hint="eastAsia"/>
        </w:rPr>
        <w:t>选装装备质量+</w:t>
      </w:r>
      <w:r>
        <w:t>15%</w:t>
      </w:r>
      <w:r>
        <w:rPr>
          <w:rFonts w:hint="eastAsia"/>
        </w:rPr>
        <w:t>的车辆最大负载”，因此需首先评估新测试质量与整备质量的线性相关性，以评估下一阶段限值制定的质量基准。</w:t>
      </w:r>
    </w:p>
    <w:p>
      <w:pPr>
        <w:spacing w:line="400" w:lineRule="exact"/>
        <w:ind w:firstLine="420"/>
      </w:pPr>
      <w:r>
        <w:rPr>
          <w:rFonts w:hint="eastAsia"/>
        </w:rPr>
        <w:t>图7基于某自然年《公告》中所有车型分析了整备质量与不同质量基准的线性相关性。</w:t>
      </w:r>
    </w:p>
    <w:p>
      <w:pPr>
        <w:ind w:firstLine="0" w:firstLineChars="0"/>
        <w:jc w:val="center"/>
      </w:pPr>
      <w:r>
        <w:object>
          <v:shape id="_x0000_i1027" o:spt="75" type="#_x0000_t75" style="height:195.5pt;width:279pt;" o:ole="t" filled="f" o:preferrelative="t" stroked="f" coordsize="21600,21600">
            <v:path/>
            <v:fill on="f" focussize="0,0"/>
            <v:stroke on="f" joinstyle="miter"/>
            <v:imagedata r:id="rId25" o:title=""/>
            <o:lock v:ext="edit" aspectratio="t"/>
            <w10:wrap type="none"/>
            <w10:anchorlock/>
          </v:shape>
          <o:OLEObject Type="Embed" ProgID="Origin50.Graph" ShapeID="_x0000_i1027" DrawAspect="Content" ObjectID="_1468075727" r:id="rId24">
            <o:LockedField>false</o:LockedField>
          </o:OLEObject>
        </w:object>
      </w:r>
    </w:p>
    <w:p>
      <w:pPr>
        <w:spacing w:line="400" w:lineRule="exact"/>
        <w:ind w:firstLine="0" w:firstLineChars="0"/>
        <w:jc w:val="center"/>
        <w:rPr>
          <w:rFonts w:eastAsia="黑体" w:cs="Calibri"/>
          <w:szCs w:val="21"/>
        </w:rPr>
      </w:pPr>
      <w:r>
        <w:rPr>
          <w:rFonts w:hint="eastAsia" w:eastAsia="黑体" w:cs="Calibri"/>
          <w:szCs w:val="21"/>
        </w:rPr>
        <w:t>图7</w:t>
      </w:r>
      <w:r>
        <w:rPr>
          <w:rFonts w:eastAsia="黑体" w:cs="Calibri"/>
          <w:szCs w:val="21"/>
        </w:rPr>
        <w:t xml:space="preserve"> </w:t>
      </w:r>
      <w:bookmarkStart w:id="34" w:name="_Hlk109120613"/>
      <w:r>
        <w:rPr>
          <w:rFonts w:hint="eastAsia" w:eastAsia="黑体" w:cs="Calibri"/>
          <w:szCs w:val="21"/>
        </w:rPr>
        <w:t>整备质量与不同质量基准的线性相关性</w:t>
      </w:r>
      <w:bookmarkEnd w:id="34"/>
      <w:r>
        <w:rPr>
          <w:rFonts w:hint="eastAsia" w:eastAsia="黑体" w:cs="Calibri"/>
          <w:szCs w:val="21"/>
        </w:rPr>
        <w:t>分析</w:t>
      </w:r>
    </w:p>
    <w:p>
      <w:pPr>
        <w:spacing w:line="400" w:lineRule="exact"/>
        <w:ind w:firstLine="420"/>
      </w:pPr>
      <w:r>
        <w:rPr>
          <w:rFonts w:hint="eastAsia"/>
        </w:rPr>
        <w:t>由图7可以看出，新试验方法标准下，测试质量与整备质量基本呈现完全的线性相关性。进一步由图8所示的行业数据分析得出，车型电耗与不同质量基准的线性相关性基本一致，采取两种质量基准制定限值的严格程度完全一致。考虑到整备质量是《公告》参数，更加便于行业管理和消费者理解，因此</w:t>
      </w:r>
      <w:r>
        <w:rPr>
          <w:rFonts w:hint="eastAsia"/>
          <w:b/>
          <w:bCs/>
        </w:rPr>
        <w:t>本标准将维持以整备质量为质量基准进行限值制定。</w:t>
      </w:r>
    </w:p>
    <w:p>
      <w:pPr>
        <w:ind w:firstLine="0" w:firstLineChars="0"/>
        <w:jc w:val="center"/>
      </w:pPr>
      <w:r>
        <w:object>
          <v:shape id="_x0000_i1028" o:spt="75" type="#_x0000_t75" style="height:186pt;width:267pt;" o:ole="t" filled="f" o:preferrelative="t" stroked="f" coordsize="21600,21600">
            <v:path/>
            <v:fill on="f" focussize="0,0"/>
            <v:stroke on="f" joinstyle="miter"/>
            <v:imagedata r:id="rId27" o:title=""/>
            <o:lock v:ext="edit" aspectratio="t"/>
            <w10:wrap type="none"/>
            <w10:anchorlock/>
          </v:shape>
          <o:OLEObject Type="Embed" ProgID="Origin50.Graph" ShapeID="_x0000_i1028" DrawAspect="Content" ObjectID="_1468075728" r:id="rId26">
            <o:LockedField>false</o:LockedField>
          </o:OLEObject>
        </w:object>
      </w:r>
    </w:p>
    <w:p>
      <w:pPr>
        <w:spacing w:line="400" w:lineRule="exact"/>
        <w:ind w:firstLine="0" w:firstLineChars="0"/>
        <w:jc w:val="center"/>
        <w:rPr>
          <w:rFonts w:eastAsia="黑体" w:cs="Calibri"/>
          <w:szCs w:val="21"/>
        </w:rPr>
      </w:pPr>
      <w:r>
        <w:rPr>
          <w:rFonts w:hint="eastAsia" w:eastAsia="黑体" w:cs="Calibri"/>
          <w:szCs w:val="21"/>
        </w:rPr>
        <w:t>图8不同质量基准下电耗的线性相关性分析</w:t>
      </w:r>
    </w:p>
    <w:p>
      <w:pPr>
        <w:spacing w:line="400" w:lineRule="exact"/>
        <w:ind w:firstLine="420"/>
      </w:pPr>
      <w:r>
        <w:rPr>
          <w:rFonts w:hint="eastAsia"/>
        </w:rPr>
        <w:t>3）车重趋势及质量拐点</w:t>
      </w:r>
    </w:p>
    <w:p>
      <w:pPr>
        <w:spacing w:line="400" w:lineRule="exact"/>
        <w:ind w:firstLine="420"/>
      </w:pPr>
      <w:r>
        <w:rPr>
          <w:rFonts w:hint="eastAsia"/>
        </w:rPr>
        <w:t>GB/T 36980—2018对不同整备质量的车型采取了“抓大放小”的策略，即对于低于7</w:t>
      </w:r>
      <w:r>
        <w:t>50</w:t>
      </w:r>
      <w:r>
        <w:rPr>
          <w:rFonts w:hint="eastAsia"/>
        </w:rPr>
        <w:t>kg的车型不再进行线性加严，对于超过2</w:t>
      </w:r>
      <w:r>
        <w:t>510</w:t>
      </w:r>
      <w:r>
        <w:rPr>
          <w:rFonts w:hint="eastAsia"/>
        </w:rPr>
        <w:t>kg的车型不再进行线性放宽，以这种方式鼓励车辆轻量化发展。未来，纯电动乘用车有进一步大型化的趋势，有必要维持现有管理模式以适当约束质量的持续增加，但拐点的设置也需考虑纯电动车型与原传统车的差异。</w:t>
      </w:r>
    </w:p>
    <w:p>
      <w:pPr>
        <w:spacing w:line="400" w:lineRule="exact"/>
        <w:ind w:firstLine="420"/>
      </w:pPr>
      <w:r>
        <w:rPr>
          <w:rFonts w:hint="eastAsia"/>
        </w:rPr>
        <w:t>图9给出了考虑不同车型的车重趋势及总体电耗变化。由图中可以看出，近3年平均车重不断增加，电耗水平也随之增加，尽管2020年已达到近12kWh/100km，但近三年无进一步改善，《规划》目标依然存在挑战。车型影响方面，三排座椅车型占比较低，对平均车重影响不超过20kg，对总体电耗影响约为0.1kWh/100km；低速车型占比较高，占比变化较大，参与计算对平均车重/总体电耗及趋势均有较大影响。近3年，尽管常规车型、低速车型电耗持续降低，但随着低速车型占比的快速降低，总体电耗仍呈增加趋势，由此反映出平均车重对总体电耗影响显著，综合近几年趋势，研究认为特殊车型对车重影响将减弱，平均车重将不断接近常规车型车重。</w:t>
      </w:r>
    </w:p>
    <w:p>
      <w:pPr>
        <w:spacing w:line="400" w:lineRule="exact"/>
        <w:ind w:firstLine="420"/>
      </w:pPr>
      <w:r>
        <w:rPr>
          <w:rFonts w:hint="eastAsia"/>
        </w:rPr>
        <w:t>综合近年来车重总体情况，确定</w:t>
      </w:r>
      <w:r>
        <w:rPr>
          <w:rFonts w:hint="eastAsia"/>
          <w:b/>
          <w:bCs/>
        </w:rPr>
        <w:t>限值要求基准质量为1780kg</w:t>
      </w:r>
      <w:r>
        <w:rPr>
          <w:rFonts w:hint="eastAsia"/>
        </w:rPr>
        <w:t>，并以常规车型较传统车质量增幅(1580kg→1780kg)，</w:t>
      </w:r>
      <w:r>
        <w:rPr>
          <w:rFonts w:hint="eastAsia"/>
          <w:b/>
          <w:bCs/>
        </w:rPr>
        <w:t>将2510kg质量拐点增加200kg至2710kg</w:t>
      </w:r>
      <w:r>
        <w:rPr>
          <w:rFonts w:hint="eastAsia"/>
        </w:rPr>
        <w:t>。低质量拐点方面，乘用车六阶段限值标准将调整至1090kg，行业相关意见反馈共8条，均希望调整至1090kg，综合考虑，标准将同步</w:t>
      </w:r>
      <w:r>
        <w:rPr>
          <w:rFonts w:hint="eastAsia"/>
          <w:b/>
          <w:bCs/>
        </w:rPr>
        <w:t>调整低质量拐点至1090kg。</w:t>
      </w:r>
    </w:p>
    <w:p>
      <w:pPr>
        <w:ind w:firstLine="0" w:firstLineChars="0"/>
        <w:jc w:val="center"/>
      </w:pPr>
      <w:r>
        <w:object>
          <v:shape id="_x0000_i1029" o:spt="75" type="#_x0000_t75" style="height:216.5pt;width:282.5pt;" o:ole="t" filled="f" o:preferrelative="t" stroked="f" coordsize="21600,21600">
            <v:path/>
            <v:fill on="f" focussize="0,0"/>
            <v:stroke on="f" joinstyle="miter"/>
            <v:imagedata r:id="rId29" o:title=""/>
            <o:lock v:ext="edit" aspectratio="t"/>
            <w10:wrap type="none"/>
            <w10:anchorlock/>
          </v:shape>
          <o:OLEObject Type="Embed" ProgID="Origin95.Graph" ShapeID="_x0000_i1029" DrawAspect="Content" ObjectID="_1468075729" r:id="rId28">
            <o:LockedField>false</o:LockedField>
          </o:OLEObject>
        </w:object>
      </w:r>
    </w:p>
    <w:p>
      <w:pPr>
        <w:spacing w:line="400" w:lineRule="exact"/>
        <w:ind w:firstLine="0" w:firstLineChars="0"/>
        <w:jc w:val="center"/>
        <w:rPr>
          <w:rFonts w:eastAsia="黑体" w:cs="Calibri"/>
          <w:szCs w:val="21"/>
        </w:rPr>
      </w:pPr>
      <w:r>
        <w:rPr>
          <w:rFonts w:hint="eastAsia" w:eastAsia="黑体" w:cs="Calibri"/>
          <w:szCs w:val="21"/>
        </w:rPr>
        <w:t>图9不同质量基准下电耗的线性相关性分析</w:t>
      </w:r>
    </w:p>
    <w:p>
      <w:pPr>
        <w:spacing w:line="400" w:lineRule="exact"/>
        <w:ind w:firstLine="420"/>
      </w:pPr>
      <w:r>
        <w:rPr>
          <w:rFonts w:hint="eastAsia"/>
        </w:rPr>
        <w:t>4）工况切换</w:t>
      </w:r>
    </w:p>
    <w:p>
      <w:pPr>
        <w:spacing w:line="400" w:lineRule="exact"/>
        <w:ind w:firstLine="420"/>
      </w:pPr>
      <w:r>
        <w:rPr>
          <w:rFonts w:hint="eastAsia"/>
        </w:rPr>
        <w:t>G</w:t>
      </w:r>
      <w:r>
        <w:t>B/T 18386.1</w:t>
      </w:r>
      <w:r>
        <w:rPr>
          <w:rFonts w:hint="eastAsia"/>
        </w:rPr>
        <w:t>—2</w:t>
      </w:r>
      <w:r>
        <w:t>021</w:t>
      </w:r>
      <w:r>
        <w:rPr>
          <w:rFonts w:hint="eastAsia"/>
        </w:rPr>
        <w:t>发布实施后，纯电动乘用车测试工况由N</w:t>
      </w:r>
      <w:r>
        <w:t>EDC</w:t>
      </w:r>
      <w:r>
        <w:rPr>
          <w:rFonts w:hint="eastAsia"/>
        </w:rPr>
        <w:t>切换为中国工况，试验规程也有所区别。因此，需首先研究试验方法标准修订后，车型电耗的变化情况，如图10所示。</w:t>
      </w:r>
    </w:p>
    <w:p>
      <w:pPr>
        <w:ind w:firstLine="0" w:firstLineChars="0"/>
        <w:jc w:val="center"/>
      </w:pPr>
      <w:r>
        <w:object>
          <v:shape id="_x0000_i1030" o:spt="75" type="#_x0000_t75" style="height:186pt;width:267pt;" o:ole="t" filled="f" o:preferrelative="t" stroked="f" coordsize="21600,21600">
            <v:path/>
            <v:fill on="f" focussize="0,0"/>
            <v:stroke on="f" joinstyle="miter"/>
            <v:imagedata r:id="rId31" o:title=""/>
            <o:lock v:ext="edit" aspectratio="t"/>
            <w10:wrap type="none"/>
            <w10:anchorlock/>
          </v:shape>
          <o:OLEObject Type="Embed" ProgID="Origin50.Graph" ShapeID="_x0000_i1030" DrawAspect="Content" ObjectID="_1468075730" r:id="rId30">
            <o:LockedField>false</o:LockedField>
          </o:OLEObject>
        </w:object>
      </w:r>
    </w:p>
    <w:p>
      <w:pPr>
        <w:spacing w:line="400" w:lineRule="exact"/>
        <w:ind w:firstLine="0" w:firstLineChars="0"/>
        <w:jc w:val="center"/>
        <w:rPr>
          <w:rFonts w:eastAsia="黑体" w:cs="Calibri"/>
          <w:szCs w:val="21"/>
        </w:rPr>
      </w:pPr>
      <w:r>
        <w:rPr>
          <w:rFonts w:hint="eastAsia" w:eastAsia="黑体" w:cs="Calibri"/>
          <w:szCs w:val="21"/>
        </w:rPr>
        <w:t>图10</w:t>
      </w:r>
      <w:r>
        <w:rPr>
          <w:rFonts w:eastAsia="黑体" w:cs="Calibri"/>
          <w:szCs w:val="21"/>
        </w:rPr>
        <w:t xml:space="preserve"> </w:t>
      </w:r>
      <w:r>
        <w:rPr>
          <w:rFonts w:hint="eastAsia" w:eastAsia="黑体" w:cs="Calibri"/>
          <w:szCs w:val="21"/>
        </w:rPr>
        <w:t>不同工况下电耗对比</w:t>
      </w:r>
    </w:p>
    <w:p>
      <w:pPr>
        <w:spacing w:line="400" w:lineRule="exact"/>
        <w:ind w:firstLine="420"/>
      </w:pPr>
      <w:r>
        <w:rPr>
          <w:rFonts w:hint="eastAsia"/>
        </w:rPr>
        <w:t>由图10可以看出，标准修订后，车型电耗基本全部呈现降低趋势，平均降低4</w:t>
      </w:r>
      <w:r>
        <w:t>.26%</w:t>
      </w:r>
      <w:r>
        <w:rPr>
          <w:rFonts w:hint="eastAsia"/>
        </w:rPr>
        <w:t>，且不同车型降低水平不同。由此可以得出，基于原试验方法标准制定的GB/T 36980—2018及产业政策无法支撑下一阶段车型电耗管理，需基于新试验方法标准得到的电耗结果重新制定限值要求。</w:t>
      </w:r>
    </w:p>
    <w:p>
      <w:pPr>
        <w:spacing w:line="400" w:lineRule="exact"/>
        <w:ind w:firstLine="420"/>
      </w:pPr>
      <w:r>
        <w:rPr>
          <w:rFonts w:hint="eastAsia"/>
        </w:rPr>
        <w:t>5）限值要求</w:t>
      </w:r>
    </w:p>
    <w:p>
      <w:pPr>
        <w:spacing w:line="400" w:lineRule="exact"/>
        <w:ind w:firstLine="420"/>
      </w:pPr>
      <w:r>
        <w:rPr>
          <w:rFonts w:hint="eastAsia"/>
        </w:rPr>
        <w:t>基于行业电耗现状、节能潜力、达标率分析、行业意见，提出限值要求将以现阶段行业平均水平为基准，并开展线性及二次方的形式对比，如图11所示。图中可以看出，采用线性及二次方拟合后，总体要求相近，且线性相关系数</w:t>
      </w:r>
      <w:r>
        <w:rPr>
          <w:rFonts w:hint="eastAsia"/>
          <w:i/>
          <w:iCs/>
        </w:rPr>
        <w:t>R</w:t>
      </w:r>
      <w:r>
        <w:rPr>
          <w:rFonts w:hint="eastAsia"/>
          <w:vertAlign w:val="superscript"/>
        </w:rPr>
        <w:t>2</w:t>
      </w:r>
      <w:r>
        <w:rPr>
          <w:rFonts w:hint="eastAsia"/>
        </w:rPr>
        <w:t>一致，因此无需进行形式调整。</w:t>
      </w:r>
    </w:p>
    <w:p>
      <w:pPr>
        <w:ind w:firstLine="0" w:firstLineChars="0"/>
        <w:jc w:val="center"/>
      </w:pPr>
      <w:r>
        <w:object>
          <v:shape id="_x0000_i1031" o:spt="75" type="#_x0000_t75" style="height:196.5pt;width:256.5pt;" o:ole="t" filled="f" o:preferrelative="t" stroked="f" coordsize="21600,21600">
            <v:path/>
            <v:fill on="f" focussize="0,0"/>
            <v:stroke on="f" joinstyle="miter"/>
            <v:imagedata r:id="rId33" o:title=""/>
            <o:lock v:ext="edit" aspectratio="t"/>
            <w10:wrap type="none"/>
            <w10:anchorlock/>
          </v:shape>
          <o:OLEObject Type="Embed" ProgID="Origin50.Graph" ShapeID="_x0000_i1031" DrawAspect="Content" ObjectID="_1468075731" r:id="rId32">
            <o:LockedField>false</o:LockedField>
          </o:OLEObject>
        </w:object>
      </w:r>
    </w:p>
    <w:p>
      <w:pPr>
        <w:spacing w:line="400" w:lineRule="exact"/>
        <w:ind w:firstLine="0" w:firstLineChars="0"/>
        <w:jc w:val="center"/>
        <w:rPr>
          <w:rFonts w:eastAsia="黑体" w:cs="Calibri"/>
          <w:szCs w:val="21"/>
        </w:rPr>
      </w:pPr>
      <w:r>
        <w:rPr>
          <w:rFonts w:hint="eastAsia" w:eastAsia="黑体" w:cs="Calibri"/>
          <w:szCs w:val="21"/>
        </w:rPr>
        <w:t>图11</w:t>
      </w:r>
      <w:r>
        <w:rPr>
          <w:rFonts w:eastAsia="黑体" w:cs="Calibri"/>
          <w:szCs w:val="21"/>
        </w:rPr>
        <w:t xml:space="preserve"> </w:t>
      </w:r>
      <w:r>
        <w:rPr>
          <w:rFonts w:hint="eastAsia" w:eastAsia="黑体" w:cs="Calibri"/>
          <w:szCs w:val="21"/>
        </w:rPr>
        <w:t>不同形式电耗趋势对比</w:t>
      </w:r>
    </w:p>
    <w:p>
      <w:pPr>
        <w:spacing w:line="400" w:lineRule="exact"/>
        <w:ind w:firstLine="420"/>
      </w:pPr>
      <w:r>
        <w:rPr>
          <w:rFonts w:hint="eastAsia"/>
        </w:rPr>
        <w:t>斜率层面，采用所有车型拟合得到的斜率为图11所示的0.00456。结合企业反馈，认为采用总体斜率可能无法反映不同车型技术水平的差异性，宏观可表现为不同车重技术水平的不同。图12以1780kg为分界点，给出了不同车重区间电耗的变化趋势。可以看出，低车重区间的斜率显著低于高车重区间，对此，限值制定中也需进行必要考虑。</w:t>
      </w:r>
    </w:p>
    <w:p>
      <w:pPr>
        <w:ind w:firstLine="0" w:firstLineChars="0"/>
        <w:jc w:val="center"/>
      </w:pPr>
      <w:r>
        <w:object>
          <v:shape id="_x0000_i1032" o:spt="75" type="#_x0000_t75" style="height:195pt;width:254.5pt;" o:ole="t" filled="f" o:preferrelative="t" stroked="f" coordsize="21600,21600">
            <v:path/>
            <v:fill on="f" focussize="0,0"/>
            <v:stroke on="f" joinstyle="miter"/>
            <v:imagedata r:id="rId35" o:title=""/>
            <o:lock v:ext="edit" aspectratio="t"/>
            <w10:wrap type="none"/>
            <w10:anchorlock/>
          </v:shape>
          <o:OLEObject Type="Embed" ProgID="Origin50.Graph" ShapeID="_x0000_i1032" DrawAspect="Content" ObjectID="_1468075732" r:id="rId34">
            <o:LockedField>false</o:LockedField>
          </o:OLEObject>
        </w:object>
      </w:r>
    </w:p>
    <w:p>
      <w:pPr>
        <w:spacing w:line="400" w:lineRule="exact"/>
        <w:ind w:firstLine="0" w:firstLineChars="0"/>
        <w:jc w:val="center"/>
        <w:rPr>
          <w:rFonts w:eastAsia="黑体" w:cs="Calibri"/>
          <w:szCs w:val="21"/>
        </w:rPr>
      </w:pPr>
      <w:r>
        <w:rPr>
          <w:rFonts w:hint="eastAsia" w:eastAsia="黑体" w:cs="Calibri"/>
          <w:szCs w:val="21"/>
        </w:rPr>
        <w:t>图12</w:t>
      </w:r>
      <w:r>
        <w:rPr>
          <w:rFonts w:eastAsia="黑体" w:cs="Calibri"/>
          <w:szCs w:val="21"/>
        </w:rPr>
        <w:t xml:space="preserve"> </w:t>
      </w:r>
      <w:r>
        <w:rPr>
          <w:rFonts w:hint="eastAsia" w:eastAsia="黑体" w:cs="Calibri"/>
          <w:szCs w:val="21"/>
        </w:rPr>
        <w:t>不同车重的电耗趋势</w:t>
      </w:r>
    </w:p>
    <w:p>
      <w:pPr>
        <w:spacing w:line="400" w:lineRule="exact"/>
        <w:ind w:firstLine="420"/>
      </w:pPr>
      <w:r>
        <w:rPr>
          <w:rFonts w:hint="eastAsia"/>
        </w:rPr>
        <w:t>理论上，更高车重的车型总体反映技术水平更为先进的车型，节能技术搭载率更高，降耗空间更低，因此斜率应适当增加，并尽量实现2710kg拐点对应的限值要求高于图12分段式斜率-大质量斜率下2710对应的指标18.8kWh/100km。按此原则，结合行业关于拐点处限值的反馈意见，维持基准质量要求不变的基础上，</w:t>
      </w:r>
      <w:r>
        <w:rPr>
          <w:rFonts w:hint="eastAsia"/>
          <w:b/>
          <w:bCs/>
        </w:rPr>
        <w:t>确定限值要求</w:t>
      </w:r>
      <w:r>
        <w:rPr>
          <w:rFonts w:hint="eastAsia"/>
        </w:rPr>
        <w:t>由总体拟合结果</w:t>
      </w:r>
      <w:r>
        <w:rPr>
          <w:i/>
          <w:iCs/>
        </w:rPr>
        <w:t>EC</w:t>
      </w:r>
      <w:r>
        <w:t>=0.00456×</w:t>
      </w:r>
      <w:r>
        <w:rPr>
          <w:i/>
          <w:iCs/>
        </w:rPr>
        <w:t>CM</w:t>
      </w:r>
      <w:r>
        <w:t>+5.80</w:t>
      </w:r>
      <w:r>
        <w:rPr>
          <w:rFonts w:hint="eastAsia"/>
        </w:rPr>
        <w:t>调整</w:t>
      </w:r>
      <w:r>
        <w:rPr>
          <w:rFonts w:hint="eastAsia"/>
          <w:b/>
          <w:bCs/>
        </w:rPr>
        <w:t>为</w:t>
      </w:r>
      <w:r>
        <w:rPr>
          <w:b/>
          <w:bCs/>
          <w:i/>
          <w:iCs/>
        </w:rPr>
        <w:t>EC</w:t>
      </w:r>
      <w:r>
        <w:rPr>
          <w:b/>
          <w:bCs/>
        </w:rPr>
        <w:t>=0.00556×(</w:t>
      </w:r>
      <w:r>
        <w:rPr>
          <w:b/>
          <w:bCs/>
          <w:i/>
          <w:iCs/>
        </w:rPr>
        <w:t>CM</w:t>
      </w:r>
      <w:r>
        <w:rPr>
          <w:b/>
          <w:bCs/>
        </w:rPr>
        <w:t>-1780)</w:t>
      </w:r>
      <w:r>
        <w:rPr>
          <w:b/>
          <w:bCs/>
          <w:i/>
          <w:iCs/>
        </w:rPr>
        <w:t xml:space="preserve"> </w:t>
      </w:r>
      <w:r>
        <w:rPr>
          <w:b/>
          <w:bCs/>
        </w:rPr>
        <w:t>+13.92</w:t>
      </w:r>
      <w:r>
        <w:rPr>
          <w:rFonts w:hint="eastAsia"/>
          <w:b/>
          <w:bCs/>
        </w:rPr>
        <w:t>。</w:t>
      </w:r>
    </w:p>
    <w:p>
      <w:pPr>
        <w:spacing w:line="400" w:lineRule="exact"/>
        <w:ind w:firstLine="422"/>
        <w:rPr>
          <w:b/>
          <w:bCs/>
        </w:rPr>
      </w:pPr>
      <w:r>
        <w:rPr>
          <w:rFonts w:hint="eastAsia"/>
          <w:b/>
          <w:bCs/>
        </w:rPr>
        <w:t>（3）特殊车型限值要求</w:t>
      </w:r>
    </w:p>
    <w:p>
      <w:pPr>
        <w:spacing w:line="400" w:lineRule="exact"/>
        <w:ind w:firstLine="420"/>
      </w:pPr>
      <w:r>
        <w:rPr>
          <w:rFonts w:hint="eastAsia"/>
        </w:rPr>
        <w:t>1）三排座椅车型</w:t>
      </w:r>
    </w:p>
    <w:p>
      <w:pPr>
        <w:spacing w:line="400" w:lineRule="exact"/>
        <w:ind w:firstLine="420"/>
      </w:pPr>
      <w:r>
        <w:t>GB/T 36980—2018</w:t>
      </w:r>
      <w:r>
        <w:rPr>
          <w:rFonts w:hint="eastAsia"/>
        </w:rPr>
        <w:t>对三排座椅车型和最高车速低于工况要求的车型进行了特殊考虑。三排座椅车型有着更高的运输效率，从单位乘员平均能耗角度考虑，此类车型具备一定优势，因此给予了3</w:t>
      </w:r>
      <w:r>
        <w:t>%</w:t>
      </w:r>
      <w:r>
        <w:rPr>
          <w:rFonts w:hint="eastAsia"/>
        </w:rPr>
        <w:t>的放宽。测试方法标准修订后，需基于车型数据评估是否需调整该要求，如图13所示。</w:t>
      </w:r>
    </w:p>
    <w:p>
      <w:pPr>
        <w:ind w:firstLine="0" w:firstLineChars="0"/>
        <w:jc w:val="center"/>
      </w:pPr>
      <w:r>
        <w:object>
          <v:shape id="_x0000_i1033" o:spt="75" type="#_x0000_t75" style="height:185pt;width:241.5pt;" o:ole="t" filled="f" o:preferrelative="t" stroked="f" coordsize="21600,21600">
            <v:path/>
            <v:fill on="f" focussize="0,0"/>
            <v:stroke on="f" joinstyle="miter"/>
            <v:imagedata r:id="rId37" o:title=""/>
            <o:lock v:ext="edit" aspectratio="t"/>
            <w10:wrap type="none"/>
            <w10:anchorlock/>
          </v:shape>
          <o:OLEObject Type="Embed" ProgID="Origin50.Graph" ShapeID="_x0000_i1033" DrawAspect="Content" ObjectID="_1468075733" r:id="rId36">
            <o:LockedField>false</o:LockedField>
          </o:OLEObject>
        </w:object>
      </w:r>
    </w:p>
    <w:p>
      <w:pPr>
        <w:spacing w:line="400" w:lineRule="exact"/>
        <w:ind w:firstLine="0" w:firstLineChars="0"/>
        <w:jc w:val="center"/>
        <w:rPr>
          <w:rFonts w:eastAsia="黑体" w:cs="Calibri"/>
          <w:szCs w:val="21"/>
        </w:rPr>
      </w:pPr>
      <w:r>
        <w:rPr>
          <w:rFonts w:hint="eastAsia" w:eastAsia="黑体" w:cs="Calibri"/>
          <w:szCs w:val="21"/>
        </w:rPr>
        <w:t>图</w:t>
      </w:r>
      <w:r>
        <w:rPr>
          <w:rFonts w:eastAsia="黑体" w:cs="Calibri"/>
          <w:szCs w:val="21"/>
        </w:rPr>
        <w:t>1</w:t>
      </w:r>
      <w:r>
        <w:rPr>
          <w:rFonts w:hint="eastAsia" w:eastAsia="黑体" w:cs="Calibri"/>
          <w:szCs w:val="21"/>
        </w:rPr>
        <w:t>3</w:t>
      </w:r>
      <w:r>
        <w:rPr>
          <w:rFonts w:eastAsia="黑体" w:cs="Calibri"/>
          <w:szCs w:val="21"/>
        </w:rPr>
        <w:t xml:space="preserve"> </w:t>
      </w:r>
      <w:r>
        <w:rPr>
          <w:rFonts w:hint="eastAsia" w:eastAsia="黑体" w:cs="Calibri"/>
          <w:szCs w:val="21"/>
        </w:rPr>
        <w:t>三排座椅车型电耗与限值对比</w:t>
      </w:r>
    </w:p>
    <w:p>
      <w:pPr>
        <w:spacing w:line="400" w:lineRule="exact"/>
        <w:ind w:firstLine="420"/>
      </w:pPr>
      <w:r>
        <w:rPr>
          <w:rFonts w:hint="eastAsia"/>
        </w:rPr>
        <w:t>由图</w:t>
      </w:r>
      <w:r>
        <w:t>1</w:t>
      </w:r>
      <w:r>
        <w:rPr>
          <w:rFonts w:hint="eastAsia"/>
        </w:rPr>
        <w:t>3可以看出，尽管从细分车型看，存在部分三排座椅车型明显高于限值要求，但总体电耗较限值并未呈现显著增加趋势，</w:t>
      </w:r>
      <w:r>
        <w:t xml:space="preserve"> </w:t>
      </w:r>
      <w:r>
        <w:rPr>
          <w:rFonts w:hint="eastAsia"/>
        </w:rPr>
        <w:t>由此，基于现行标准考虑，</w:t>
      </w:r>
      <w:r>
        <w:rPr>
          <w:rFonts w:hint="eastAsia"/>
          <w:b/>
          <w:bCs/>
        </w:rPr>
        <w:t>维持三排座椅车型电耗限值3%的放宽要求</w:t>
      </w:r>
      <w:r>
        <w:rPr>
          <w:rFonts w:hint="eastAsia"/>
        </w:rPr>
        <w:t>。</w:t>
      </w:r>
    </w:p>
    <w:p>
      <w:pPr>
        <w:spacing w:line="400" w:lineRule="exact"/>
        <w:ind w:firstLine="420"/>
      </w:pPr>
      <w:r>
        <w:rPr>
          <w:rFonts w:hint="eastAsia"/>
        </w:rPr>
        <w:t>2）最高车速低于工况要求车型</w:t>
      </w:r>
    </w:p>
    <w:p>
      <w:pPr>
        <w:spacing w:line="400" w:lineRule="exact"/>
        <w:ind w:firstLine="420"/>
      </w:pPr>
      <w:r>
        <w:rPr>
          <w:rFonts w:hint="eastAsia"/>
        </w:rPr>
        <w:t>最高车速低于工况要求车型，其循环能量需求相应较低，相应电耗也将较低，由此，GB/T 36980—2018设置了加严系数</w:t>
      </w:r>
      <w:r>
        <w:rPr>
          <w:rFonts w:hint="eastAsia"/>
          <w:i/>
          <w:iCs/>
        </w:rPr>
        <w:t>K</w:t>
      </w:r>
      <w:r>
        <w:rPr>
          <w:rFonts w:hint="eastAsia"/>
        </w:rPr>
        <w:t>以实现各类车型严格程度相近。新试验方法GB/T 18386.1—2021采用的中国工况最高车速为114km/h，且对于无法满足工况要求的车型已进行相应修正，因此是否维持加严系数需开展针对性研究。图14从理论上分析了多车型在不同最高车速下循环能量需求与标准工况循环能量需求的对比，拟合得到的公式即为电耗限值的修正系数。</w:t>
      </w:r>
    </w:p>
    <w:p>
      <w:pPr>
        <w:ind w:firstLine="0" w:firstLineChars="0"/>
        <w:jc w:val="center"/>
      </w:pPr>
      <w:r>
        <w:object>
          <v:shape id="_x0000_i1034" o:spt="75" type="#_x0000_t75" style="height:186pt;width:265.5pt;" o:ole="t" filled="f" o:preferrelative="t" stroked="f" coordsize="21600,21600">
            <v:path/>
            <v:fill on="f" focussize="0,0"/>
            <v:stroke on="f" joinstyle="miter"/>
            <v:imagedata r:id="rId39" o:title=""/>
            <o:lock v:ext="edit" aspectratio="t"/>
            <w10:wrap type="none"/>
            <w10:anchorlock/>
          </v:shape>
          <o:OLEObject Type="Embed" ProgID="Origin50.Graph" ShapeID="_x0000_i1034" DrawAspect="Content" ObjectID="_1468075734" r:id="rId38">
            <o:LockedField>false</o:LockedField>
          </o:OLEObject>
        </w:object>
      </w:r>
    </w:p>
    <w:p>
      <w:pPr>
        <w:spacing w:line="400" w:lineRule="exact"/>
        <w:ind w:firstLine="0" w:firstLineChars="0"/>
        <w:jc w:val="center"/>
        <w:rPr>
          <w:rFonts w:eastAsia="黑体" w:cs="Calibri"/>
          <w:szCs w:val="21"/>
        </w:rPr>
      </w:pPr>
      <w:r>
        <w:rPr>
          <w:rFonts w:hint="eastAsia" w:eastAsia="黑体" w:cs="Calibri"/>
          <w:szCs w:val="21"/>
        </w:rPr>
        <w:t>图</w:t>
      </w:r>
      <w:r>
        <w:rPr>
          <w:rFonts w:eastAsia="黑体" w:cs="Calibri"/>
          <w:szCs w:val="21"/>
        </w:rPr>
        <w:t>1</w:t>
      </w:r>
      <w:r>
        <w:rPr>
          <w:rFonts w:hint="eastAsia" w:eastAsia="黑体" w:cs="Calibri"/>
          <w:szCs w:val="21"/>
        </w:rPr>
        <w:t>4</w:t>
      </w:r>
      <w:r>
        <w:rPr>
          <w:rFonts w:eastAsia="黑体" w:cs="Calibri"/>
          <w:szCs w:val="21"/>
        </w:rPr>
        <w:t xml:space="preserve"> </w:t>
      </w:r>
      <w:r>
        <w:rPr>
          <w:rFonts w:hint="eastAsia" w:eastAsia="黑体" w:cs="Calibri"/>
          <w:szCs w:val="21"/>
        </w:rPr>
        <w:t>最高车速较低车型循环能量需求线性分析</w:t>
      </w:r>
    </w:p>
    <w:p>
      <w:pPr>
        <w:spacing w:line="400" w:lineRule="exact"/>
        <w:ind w:firstLine="420"/>
      </w:pPr>
      <w:r>
        <w:rPr>
          <w:rFonts w:hint="eastAsia"/>
        </w:rPr>
        <w:t>由图14可知，按照线性拟合得到的结果相关系数</w:t>
      </w:r>
      <w:r>
        <w:rPr>
          <w:rFonts w:hint="eastAsia"/>
          <w:i/>
          <w:iCs/>
        </w:rPr>
        <w:t>R</w:t>
      </w:r>
      <w:r>
        <w:rPr>
          <w:vertAlign w:val="superscript"/>
        </w:rPr>
        <w:t>2</w:t>
      </w:r>
      <w:r>
        <w:rPr>
          <w:rFonts w:hint="eastAsia"/>
        </w:rPr>
        <w:t>近0</w:t>
      </w:r>
      <w:r>
        <w:t>.97</w:t>
      </w:r>
      <w:r>
        <w:rPr>
          <w:rFonts w:hint="eastAsia"/>
        </w:rPr>
        <w:t>，拟合结果较为科学的反映不同速度下循环能量需求与标准工况循环能量需求的关系。数据层面，此类车型电耗表现与限值对比如图15所示。</w:t>
      </w:r>
    </w:p>
    <w:p>
      <w:pPr>
        <w:ind w:firstLine="0" w:firstLineChars="0"/>
        <w:jc w:val="center"/>
      </w:pPr>
      <w:r>
        <w:object>
          <v:shape id="_x0000_i1035" o:spt="75" type="#_x0000_t75" style="height:209.5pt;width:274pt;" o:ole="t" filled="f" o:preferrelative="t" stroked="f" coordsize="21600,21600">
            <v:path/>
            <v:fill on="f" focussize="0,0"/>
            <v:stroke on="f" joinstyle="miter"/>
            <v:imagedata r:id="rId41" o:title=""/>
            <o:lock v:ext="edit" aspectratio="t"/>
            <w10:wrap type="none"/>
            <w10:anchorlock/>
          </v:shape>
          <o:OLEObject Type="Embed" ProgID="Origin50.Graph" ShapeID="_x0000_i1035" DrawAspect="Content" ObjectID="_1468075735" r:id="rId40">
            <o:LockedField>false</o:LockedField>
          </o:OLEObject>
        </w:object>
      </w:r>
    </w:p>
    <w:p>
      <w:pPr>
        <w:spacing w:line="400" w:lineRule="exact"/>
        <w:ind w:firstLine="0" w:firstLineChars="0"/>
        <w:jc w:val="center"/>
        <w:rPr>
          <w:rFonts w:eastAsia="黑体" w:cs="Calibri"/>
          <w:szCs w:val="21"/>
        </w:rPr>
      </w:pPr>
      <w:r>
        <w:rPr>
          <w:rFonts w:hint="eastAsia" w:eastAsia="黑体" w:cs="Calibri"/>
          <w:szCs w:val="21"/>
        </w:rPr>
        <w:t>图</w:t>
      </w:r>
      <w:r>
        <w:rPr>
          <w:rFonts w:eastAsia="黑体" w:cs="Calibri"/>
          <w:szCs w:val="21"/>
        </w:rPr>
        <w:t>1</w:t>
      </w:r>
      <w:r>
        <w:rPr>
          <w:rFonts w:hint="eastAsia" w:eastAsia="黑体" w:cs="Calibri"/>
          <w:szCs w:val="21"/>
        </w:rPr>
        <w:t>5</w:t>
      </w:r>
      <w:r>
        <w:rPr>
          <w:rFonts w:eastAsia="黑体" w:cs="Calibri"/>
          <w:szCs w:val="21"/>
        </w:rPr>
        <w:t xml:space="preserve"> </w:t>
      </w:r>
      <w:r>
        <w:rPr>
          <w:rFonts w:hint="eastAsia" w:eastAsia="黑体" w:cs="Calibri"/>
          <w:szCs w:val="21"/>
        </w:rPr>
        <w:t>最高车速低于工况要求车型电耗与限值对比</w:t>
      </w:r>
    </w:p>
    <w:p>
      <w:pPr>
        <w:spacing w:line="400" w:lineRule="exact"/>
        <w:ind w:firstLine="420"/>
      </w:pPr>
      <w:r>
        <w:rPr>
          <w:rFonts w:hint="eastAsia"/>
        </w:rPr>
        <w:t>由图15中可以看出，此类车型电耗总体高于限值，反映此类车型受其市场定位及价格因素，总体节能技术搭载率相对较低，也即限值标准对此类车型的挑战已经高于其他车型，而加严系数的设置将进一步增加此类车型的达标难度，因此需开展必要性分析。目前，市售车型中，最高车速均不低于100km/h，该最高车速下的修正系数对应GB/T 36980—2018约为0.94，而对应图14则约为0.98，即测试方法修订后，最高车速降低对电耗的影响已大幅降低。因此，综合最高车速降低的影响及车型电耗实际表现，</w:t>
      </w:r>
      <w:r>
        <w:rPr>
          <w:rFonts w:hint="eastAsia"/>
          <w:b/>
          <w:bCs/>
        </w:rPr>
        <w:t>取消加严系数</w:t>
      </w:r>
      <w:r>
        <w:rPr>
          <w:rFonts w:hint="eastAsia"/>
          <w:b/>
          <w:bCs/>
          <w:i/>
          <w:iCs/>
        </w:rPr>
        <w:t>K</w:t>
      </w:r>
      <w:r>
        <w:rPr>
          <w:rFonts w:hint="eastAsia"/>
          <w:b/>
          <w:bCs/>
        </w:rPr>
        <w:t>的设置</w:t>
      </w:r>
      <w:r>
        <w:rPr>
          <w:rFonts w:hint="eastAsia"/>
        </w:rPr>
        <w:t>。</w:t>
      </w:r>
    </w:p>
    <w:p>
      <w:pPr>
        <w:spacing w:line="400" w:lineRule="exact"/>
        <w:ind w:firstLine="420"/>
      </w:pPr>
      <w:r>
        <w:rPr>
          <w:rFonts w:hint="eastAsia"/>
        </w:rPr>
        <w:t>3）四驱车型</w:t>
      </w:r>
    </w:p>
    <w:p>
      <w:pPr>
        <w:spacing w:line="400" w:lineRule="exact"/>
        <w:ind w:firstLine="420"/>
      </w:pPr>
      <w:r>
        <w:rPr>
          <w:rFonts w:hint="eastAsia"/>
        </w:rPr>
        <w:t>四驱车型电耗放宽是标准研究过程中行业较为集中反馈的意见。理论上，四驱车型的技术特点通常会导致能耗有所增加，与图16呈现的结果一致。且与传统车降耗潜力不同，电动汽车总体效率已达到较高水平，降耗空间相对更低。市场表现上，近年来电动汽车平均整备质量呈现不断增加趋势，总体上也在侧面反映出消费者对于高性能车型的购买倾向，而以四驱车型为代表的车型也将是我国市场多元化发展的主要组成。基于此，为在有效约束此类车型电耗的同时，兼顾此类车型的技术特点，按照限值要求对此类车型力度与常规车型相近的原则，提出</w:t>
      </w:r>
      <w:r>
        <w:rPr>
          <w:rFonts w:hint="eastAsia"/>
          <w:b/>
          <w:bCs/>
        </w:rPr>
        <w:t>四驱车型电耗限值放宽3%。</w:t>
      </w:r>
    </w:p>
    <w:p>
      <w:pPr>
        <w:ind w:firstLine="0" w:firstLineChars="0"/>
        <w:jc w:val="center"/>
      </w:pPr>
      <w:r>
        <w:object>
          <v:shape id="_x0000_i1036" o:spt="75" type="#_x0000_t75" style="height:216.5pt;width:283.5pt;" o:ole="t" filled="f" o:preferrelative="t" stroked="f" coordsize="21600,21600">
            <v:path/>
            <v:fill on="f" focussize="0,0"/>
            <v:stroke on="f" joinstyle="miter"/>
            <v:imagedata r:id="rId43" o:title=""/>
            <o:lock v:ext="edit" aspectratio="t"/>
            <w10:wrap type="none"/>
            <w10:anchorlock/>
          </v:shape>
          <o:OLEObject Type="Embed" ProgID="Origin50.Graph" ShapeID="_x0000_i1036" DrawAspect="Content" ObjectID="_1468075736" r:id="rId42">
            <o:LockedField>false</o:LockedField>
          </o:OLEObject>
        </w:object>
      </w:r>
    </w:p>
    <w:p>
      <w:pPr>
        <w:spacing w:line="400" w:lineRule="exact"/>
        <w:ind w:firstLine="0" w:firstLineChars="0"/>
        <w:jc w:val="center"/>
        <w:rPr>
          <w:rFonts w:eastAsia="黑体" w:cs="Calibri"/>
          <w:szCs w:val="21"/>
        </w:rPr>
      </w:pPr>
      <w:r>
        <w:rPr>
          <w:rFonts w:hint="eastAsia" w:eastAsia="黑体" w:cs="Calibri"/>
          <w:szCs w:val="21"/>
        </w:rPr>
        <w:t>图</w:t>
      </w:r>
      <w:r>
        <w:rPr>
          <w:rFonts w:eastAsia="黑体" w:cs="Calibri"/>
          <w:szCs w:val="21"/>
        </w:rPr>
        <w:t>1</w:t>
      </w:r>
      <w:r>
        <w:rPr>
          <w:rFonts w:hint="eastAsia" w:eastAsia="黑体" w:cs="Calibri"/>
          <w:szCs w:val="21"/>
        </w:rPr>
        <w:t>6</w:t>
      </w:r>
      <w:r>
        <w:rPr>
          <w:rFonts w:eastAsia="黑体" w:cs="Calibri"/>
          <w:szCs w:val="21"/>
        </w:rPr>
        <w:t xml:space="preserve"> </w:t>
      </w:r>
      <w:r>
        <w:rPr>
          <w:rFonts w:hint="eastAsia" w:eastAsia="黑体" w:cs="Calibri"/>
          <w:szCs w:val="21"/>
        </w:rPr>
        <w:t>四驱车型电耗与限值对比</w:t>
      </w:r>
    </w:p>
    <w:p>
      <w:pPr>
        <w:spacing w:line="400" w:lineRule="exact"/>
        <w:ind w:firstLine="420"/>
      </w:pPr>
      <w:r>
        <w:rPr>
          <w:rFonts w:hint="eastAsia"/>
        </w:rPr>
        <w:t>4）超高性能车型</w:t>
      </w:r>
    </w:p>
    <w:p>
      <w:pPr>
        <w:spacing w:line="400" w:lineRule="exact"/>
        <w:ind w:firstLine="420"/>
      </w:pPr>
      <w:r>
        <w:rPr>
          <w:rFonts w:hint="eastAsia"/>
        </w:rPr>
        <w:t>前期高性能车主要以进口车型为主，目前国内企业也在开发相关高性能车型。此类车型受其市场定位，其技术特点将导致效率较低、阻力较大、滚阻较高等一系列能耗不利因素，使其能耗显著高于现行限值要求（行业数据显示，平均较限值高约15%，最高可达25%~30%）。前期已组织召开多次专项讨论会，就高性能车型边界范围进行了深入研讨，结合全球技术法规GTR 15及国内在研的噪声标准GB 1495中对于功率质量比的相关应用，现已形成较为成熟的方案：</w:t>
      </w:r>
      <w:r>
        <w:rPr>
          <w:rFonts w:hint="eastAsia"/>
          <w:b/>
          <w:bCs/>
        </w:rPr>
        <w:t>轿车（含跑车）、SUV车型以功率质量比及0-100km/h加速时间指标进行界定，两类车型技术要求有所区别；越野车型以爬坡坡度及功率质量比或扭矩质量比指标进行界定。对于满足相应技术要求的车型，限值要求给予20%的放宽。</w:t>
      </w:r>
      <w:r>
        <w:rPr>
          <w:rFonts w:hint="eastAsia"/>
        </w:rPr>
        <w:t>结合对现行车型及企业部分在研车型的技术判定，方案能够较为客观识别预期纳入适用范畴的车型，且总体数量极为有限（2024年第一季度国内相关车型总产量不足400辆，占比低于0.04%），对纯电动汽车总体电量消耗量影响微乎其微。</w:t>
      </w:r>
    </w:p>
    <w:p>
      <w:pPr>
        <w:spacing w:line="400" w:lineRule="exact"/>
        <w:ind w:firstLine="422"/>
        <w:rPr>
          <w:b/>
          <w:bCs/>
        </w:rPr>
      </w:pPr>
      <w:r>
        <w:rPr>
          <w:rFonts w:hint="eastAsia"/>
          <w:b/>
          <w:bCs/>
        </w:rPr>
        <w:t>（4）达标率分析</w:t>
      </w:r>
    </w:p>
    <w:p>
      <w:pPr>
        <w:spacing w:line="400" w:lineRule="exact"/>
        <w:ind w:firstLine="420"/>
      </w:pPr>
      <w:r>
        <w:rPr>
          <w:rFonts w:hint="eastAsia"/>
        </w:rPr>
        <w:t>基于常规车型、特殊车型限值要求及现阶段各类车型电耗表现，得出现阶段车型行业总体达标率超过60%。考虑图4保守情景下的节能潜力后，预计标准实施后另有近30%的车型可通过适当的技术升级满足限值要求，即标准实施后预期淘汰约10%的技术落后车型。</w:t>
      </w:r>
    </w:p>
    <w:p>
      <w:pPr>
        <w:spacing w:line="400" w:lineRule="exact"/>
        <w:ind w:firstLine="422"/>
        <w:rPr>
          <w:b/>
          <w:bCs/>
        </w:rPr>
      </w:pPr>
      <w:r>
        <w:rPr>
          <w:rFonts w:hint="eastAsia"/>
          <w:b/>
          <w:bCs/>
        </w:rPr>
        <w:t>（5）PHEV适用性分析</w:t>
      </w:r>
    </w:p>
    <w:p>
      <w:pPr>
        <w:spacing w:line="400" w:lineRule="exact"/>
        <w:ind w:firstLine="420"/>
      </w:pPr>
      <w:r>
        <w:rPr>
          <w:rFonts w:hint="eastAsia"/>
        </w:rPr>
        <w:t>PHEV燃料消耗量已纳入GB 19578—2021《乘用车燃料消耗量限值》标准适用范畴，其电耗是否可纳入本标准需要在相应分析。PHEV电耗参数主要包括CD阶段电耗和综合电耗两种，且现阶段采用与纯电动汽车不同的测试工况WLTC，图17为某一时期PHEV与纯电动汽车电耗对比。</w:t>
      </w:r>
    </w:p>
    <w:p>
      <w:pPr>
        <w:ind w:firstLine="0" w:firstLineChars="0"/>
        <w:jc w:val="center"/>
      </w:pPr>
      <w:r>
        <w:object>
          <v:shape id="_x0000_i1037" o:spt="75" type="#_x0000_t75" style="height:214.5pt;width:306pt;" o:ole="t" filled="f" o:preferrelative="t" stroked="f" coordsize="21600,21600">
            <v:path/>
            <v:fill on="f" focussize="0,0"/>
            <v:stroke on="f" joinstyle="miter"/>
            <v:imagedata r:id="rId45" o:title=""/>
            <o:lock v:ext="edit" aspectratio="t"/>
            <w10:wrap type="none"/>
            <w10:anchorlock/>
          </v:shape>
          <o:OLEObject Type="Embed" ProgID="Origin50.Graph" ShapeID="_x0000_i1037" DrawAspect="Content" ObjectID="_1468075737" r:id="rId44">
            <o:LockedField>false</o:LockedField>
          </o:OLEObject>
        </w:object>
      </w:r>
    </w:p>
    <w:p>
      <w:pPr>
        <w:spacing w:line="400" w:lineRule="exact"/>
        <w:ind w:firstLine="0" w:firstLineChars="0"/>
        <w:jc w:val="center"/>
        <w:rPr>
          <w:rFonts w:eastAsia="黑体" w:cs="Calibri"/>
          <w:szCs w:val="21"/>
        </w:rPr>
      </w:pPr>
      <w:r>
        <w:rPr>
          <w:rFonts w:hint="eastAsia" w:eastAsia="黑体" w:cs="Calibri"/>
          <w:szCs w:val="21"/>
        </w:rPr>
        <w:t>图</w:t>
      </w:r>
      <w:r>
        <w:rPr>
          <w:rFonts w:eastAsia="黑体" w:cs="Calibri"/>
          <w:szCs w:val="21"/>
        </w:rPr>
        <w:t>1</w:t>
      </w:r>
      <w:r>
        <w:rPr>
          <w:rFonts w:hint="eastAsia" w:eastAsia="黑体" w:cs="Calibri"/>
          <w:szCs w:val="21"/>
        </w:rPr>
        <w:t>7</w:t>
      </w:r>
      <w:r>
        <w:rPr>
          <w:rFonts w:eastAsia="黑体" w:cs="Calibri"/>
          <w:szCs w:val="21"/>
        </w:rPr>
        <w:t xml:space="preserve"> </w:t>
      </w:r>
      <w:r>
        <w:rPr>
          <w:rFonts w:hint="eastAsia" w:eastAsia="黑体" w:cs="Calibri"/>
          <w:szCs w:val="21"/>
        </w:rPr>
        <w:t>PHEV与纯电动汽车电耗对比</w:t>
      </w:r>
    </w:p>
    <w:p>
      <w:pPr>
        <w:spacing w:line="400" w:lineRule="exact"/>
        <w:ind w:firstLine="420"/>
      </w:pPr>
      <w:r>
        <w:rPr>
          <w:rFonts w:hint="eastAsia"/>
        </w:rPr>
        <w:t>从图17可以看出，PHEV无论是CD阶段电耗和综合电耗，在WLTC下的电耗表现均高于中国工况下的纯电动汽车电耗。基于图中拟合的线性公式，可进一步得出PHEV-CD阶段电耗较纯电动汽车增加30%~50%，综合电耗较纯电动汽车增加5%~15%，且均随整备质量增加差距变大。由此得出，</w:t>
      </w:r>
      <w:r>
        <w:rPr>
          <w:rFonts w:hint="eastAsia"/>
          <w:b/>
          <w:bCs/>
        </w:rPr>
        <w:t>本标准不适用于PHEV</w:t>
      </w:r>
      <w:r>
        <w:rPr>
          <w:rFonts w:hint="eastAsia"/>
        </w:rPr>
        <w:t>，后续可对此开展针对性研究。</w:t>
      </w:r>
    </w:p>
    <w:p>
      <w:pPr>
        <w:spacing w:line="400" w:lineRule="exact"/>
        <w:ind w:firstLine="422"/>
        <w:rPr>
          <w:b/>
          <w:bCs/>
        </w:rPr>
      </w:pPr>
      <w:r>
        <w:rPr>
          <w:rFonts w:hint="eastAsia"/>
          <w:b/>
          <w:bCs/>
        </w:rPr>
        <w:t>（6）最终限值方案</w:t>
      </w:r>
    </w:p>
    <w:p>
      <w:pPr>
        <w:spacing w:line="400" w:lineRule="exact"/>
        <w:ind w:firstLine="420"/>
      </w:pPr>
      <w:r>
        <w:rPr>
          <w:rFonts w:hint="eastAsia"/>
        </w:rPr>
        <w:t>标准起草过程中，起草组就标准适用范围、限值要求、质量拐点、四驱车型和三排座椅车型限值特殊性等广泛征求了标准工作组成员单位意见，经讨论确定标准适用范围延续现行标准版本；限值要求在以行业现阶段平均水平为基准，考虑行业发展适当调整后确定；低质量拐点由750 kg调整至1090 kg；维持三排座椅车型的放宽要求，新增四驱车型放宽要求，取消最高车速低于工况车型的加严要求。具体要求如下：</w:t>
      </w:r>
    </w:p>
    <w:p>
      <w:pPr>
        <w:spacing w:line="400" w:lineRule="exact"/>
        <w:ind w:firstLine="420"/>
      </w:pPr>
      <w:r>
        <w:rPr>
          <w:rFonts w:hint="eastAsia"/>
        </w:rPr>
        <w:t>a)</w:t>
      </w:r>
      <w:r>
        <w:rPr>
          <w:rFonts w:hint="eastAsia"/>
        </w:rPr>
        <w:tab/>
      </w:r>
      <w:r>
        <w:rPr>
          <w:rFonts w:hint="eastAsia"/>
        </w:rPr>
        <w:t>对于具有三排以下座椅且非四轮驱动的车型，能量消耗量限值按式(1)~式(3)计算。</w:t>
      </w:r>
    </w:p>
    <w:p>
      <w:pPr>
        <w:spacing w:line="400" w:lineRule="exact"/>
        <w:ind w:firstLine="420"/>
      </w:pPr>
      <w:r>
        <w:rPr>
          <w:rFonts w:hint="eastAsia"/>
        </w:rPr>
        <w:t>如果整车整备质量</w:t>
      </w:r>
      <w:r>
        <w:rPr>
          <w:rFonts w:hint="eastAsia"/>
          <w:i/>
          <w:iCs/>
        </w:rPr>
        <w:t>CM</w:t>
      </w:r>
      <w:r>
        <w:rPr>
          <w:rFonts w:hint="eastAsia"/>
        </w:rPr>
        <w:t>≤1090</w:t>
      </w:r>
      <w:r>
        <w:t>，</w:t>
      </w:r>
      <w:r>
        <w:rPr>
          <w:rFonts w:hint="eastAsia"/>
        </w:rPr>
        <w:t>则</w:t>
      </w:r>
    </w:p>
    <w:p>
      <w:pPr>
        <w:spacing w:line="400" w:lineRule="exact"/>
        <w:ind w:firstLine="0" w:firstLineChars="0"/>
        <w:jc w:val="right"/>
      </w:pPr>
      <w:r>
        <w:rPr>
          <w:rFonts w:hint="eastAsia"/>
          <w:i/>
          <w:iCs/>
        </w:rPr>
        <w:t>EC</w:t>
      </w:r>
      <w:r>
        <w:rPr>
          <w:rFonts w:hint="eastAsia"/>
          <w:vertAlign w:val="subscript"/>
        </w:rPr>
        <w:t>L</w:t>
      </w:r>
      <w:r>
        <w:rPr>
          <w:rFonts w:hint="eastAsia"/>
        </w:rPr>
        <w:t>=10.1</w:t>
      </w:r>
      <w:r>
        <w:t>…………………………………………</w:t>
      </w:r>
      <w:r>
        <w:rPr>
          <w:rFonts w:hint="eastAsia"/>
        </w:rPr>
        <w:t>..(1)</w:t>
      </w:r>
    </w:p>
    <w:p>
      <w:pPr>
        <w:spacing w:line="400" w:lineRule="exact"/>
        <w:ind w:firstLine="420"/>
      </w:pPr>
      <w:r>
        <w:rPr>
          <w:rFonts w:hint="eastAsia"/>
        </w:rPr>
        <w:t>如果1090＜</w:t>
      </w:r>
      <w:r>
        <w:rPr>
          <w:rFonts w:hint="eastAsia"/>
          <w:i/>
          <w:iCs/>
        </w:rPr>
        <w:t>CM</w:t>
      </w:r>
      <w:r>
        <w:rPr>
          <w:rFonts w:hint="eastAsia"/>
        </w:rPr>
        <w:t>≤2510，则</w:t>
      </w:r>
    </w:p>
    <w:p>
      <w:pPr>
        <w:spacing w:line="400" w:lineRule="exact"/>
        <w:ind w:firstLine="0" w:firstLineChars="0"/>
        <w:jc w:val="right"/>
      </w:pPr>
      <w:r>
        <w:rPr>
          <w:rFonts w:hint="eastAsia"/>
          <w:i/>
          <w:iCs/>
        </w:rPr>
        <w:t>EC</w:t>
      </w:r>
      <w:r>
        <w:rPr>
          <w:rFonts w:hint="eastAsia"/>
          <w:vertAlign w:val="subscript"/>
        </w:rPr>
        <w:t>L</w:t>
      </w:r>
      <w:r>
        <w:rPr>
          <w:rFonts w:hint="eastAsia"/>
        </w:rPr>
        <w:t>=0.00556×(</w:t>
      </w:r>
      <w:r>
        <w:rPr>
          <w:rFonts w:hint="eastAsia"/>
          <w:i/>
          <w:iCs/>
        </w:rPr>
        <w:t>CM</w:t>
      </w:r>
      <w:r>
        <w:rPr>
          <w:rFonts w:hint="eastAsia"/>
        </w:rPr>
        <w:t>-1780)+13.92</w:t>
      </w:r>
      <w:r>
        <w:t>……………………………</w:t>
      </w:r>
      <w:r>
        <w:rPr>
          <w:rFonts w:hint="eastAsia"/>
        </w:rPr>
        <w:t>....(2)</w:t>
      </w:r>
    </w:p>
    <w:p>
      <w:pPr>
        <w:spacing w:line="400" w:lineRule="exact"/>
        <w:ind w:firstLine="420"/>
      </w:pPr>
      <w:r>
        <w:t>如果</w:t>
      </w:r>
      <w:r>
        <w:rPr>
          <w:rFonts w:hint="eastAsia"/>
          <w:i/>
          <w:iCs/>
        </w:rPr>
        <w:t>CM</w:t>
      </w:r>
      <w:r>
        <w:rPr>
          <w:rFonts w:hint="eastAsia"/>
        </w:rPr>
        <w:t>＞2510，则</w:t>
      </w:r>
    </w:p>
    <w:p>
      <w:pPr>
        <w:spacing w:line="400" w:lineRule="exact"/>
        <w:ind w:firstLine="0" w:firstLineChars="0"/>
        <w:jc w:val="right"/>
      </w:pPr>
      <w:r>
        <w:rPr>
          <w:rFonts w:hint="eastAsia"/>
          <w:i/>
          <w:iCs/>
        </w:rPr>
        <w:t>EC</w:t>
      </w:r>
      <w:r>
        <w:rPr>
          <w:rFonts w:hint="eastAsia"/>
          <w:vertAlign w:val="subscript"/>
        </w:rPr>
        <w:t>L</w:t>
      </w:r>
      <w:r>
        <w:rPr>
          <w:rFonts w:hint="eastAsia"/>
        </w:rPr>
        <w:t>=19.1</w:t>
      </w:r>
      <w:r>
        <w:t>…………………………………………</w:t>
      </w:r>
      <w:r>
        <w:rPr>
          <w:rFonts w:hint="eastAsia"/>
        </w:rPr>
        <w:t>.(3)</w:t>
      </w:r>
    </w:p>
    <w:p>
      <w:pPr>
        <w:spacing w:line="400" w:lineRule="exact"/>
        <w:ind w:firstLine="420"/>
      </w:pPr>
      <w:r>
        <w:t>式中</w:t>
      </w:r>
      <w:r>
        <w:rPr>
          <w:rFonts w:hint="eastAsia"/>
        </w:rPr>
        <w:t>：</w:t>
      </w:r>
      <w:r>
        <w:rPr>
          <w:rFonts w:hint="eastAsia"/>
          <w:i/>
          <w:iCs/>
        </w:rPr>
        <w:t>CM</w:t>
      </w:r>
      <w:r>
        <w:rPr>
          <w:rFonts w:hint="eastAsia"/>
        </w:rPr>
        <w:t>为整车整备质量，单位为千克（</w:t>
      </w:r>
      <w:r>
        <w:t>kg</w:t>
      </w:r>
      <w:r>
        <w:rPr>
          <w:rFonts w:hint="eastAsia"/>
        </w:rPr>
        <w:t>）；E</w:t>
      </w:r>
      <w:r>
        <w:rPr>
          <w:rFonts w:hint="eastAsia"/>
          <w:i/>
          <w:iCs/>
        </w:rPr>
        <w:t>C</w:t>
      </w:r>
      <w:r>
        <w:rPr>
          <w:rFonts w:hint="eastAsia"/>
          <w:vertAlign w:val="subscript"/>
        </w:rPr>
        <w:t>L</w:t>
      </w:r>
      <w:r>
        <w:rPr>
          <w:rFonts w:hint="eastAsia"/>
        </w:rPr>
        <w:t>为车型能量消耗量限值，单位为千瓦时每百千米（kWh</w:t>
      </w:r>
      <w:r>
        <w:t>/100</w:t>
      </w:r>
      <w:r>
        <w:rPr>
          <w:rFonts w:hint="eastAsia"/>
        </w:rPr>
        <w:t xml:space="preserve"> </w:t>
      </w:r>
      <w:r>
        <w:t>km</w:t>
      </w:r>
      <w:r>
        <w:rPr>
          <w:rFonts w:hint="eastAsia"/>
        </w:rPr>
        <w:t>）。</w:t>
      </w:r>
    </w:p>
    <w:p>
      <w:pPr>
        <w:spacing w:line="400" w:lineRule="exact"/>
        <w:ind w:firstLine="420"/>
      </w:pPr>
      <w:r>
        <w:rPr>
          <w:rFonts w:hint="eastAsia"/>
        </w:rPr>
        <w:t>b）其他车型能量消耗量限值应在式(1)~式(3)规定的基础上乘以1.03。</w:t>
      </w:r>
    </w:p>
    <w:p>
      <w:pPr>
        <w:spacing w:line="400" w:lineRule="exact"/>
        <w:ind w:firstLine="420"/>
      </w:pPr>
      <w:r>
        <w:rPr>
          <w:rFonts w:hint="eastAsia"/>
        </w:rPr>
        <w:t>c）若车型符合下述特征，其能量消耗量限值应在式(1)~式(3)规定的基础上乘以1.20。</w:t>
      </w:r>
    </w:p>
    <w:p>
      <w:pPr>
        <w:spacing w:line="400" w:lineRule="exact"/>
        <w:ind w:left="420" w:firstLine="420"/>
      </w:pPr>
      <w:r>
        <w:rPr>
          <w:rFonts w:hint="eastAsia"/>
        </w:rPr>
        <w:t>1)</w:t>
      </w:r>
      <w:r>
        <w:rPr>
          <w:rFonts w:hint="eastAsia"/>
        </w:rPr>
        <w:tab/>
      </w:r>
      <w:r>
        <w:rPr>
          <w:rFonts w:hint="eastAsia"/>
        </w:rPr>
        <w:t>对于GB/T 3730.1—2022中4.1规定的除4.1.2及4.1.3的车型，同时满足下述特征：</w:t>
      </w:r>
    </w:p>
    <w:p>
      <w:pPr>
        <w:pStyle w:val="19"/>
        <w:numPr>
          <w:ilvl w:val="0"/>
          <w:numId w:val="2"/>
        </w:numPr>
        <w:spacing w:line="400" w:lineRule="exact"/>
        <w:ind w:left="1259" w:firstLine="0" w:firstLineChars="0"/>
      </w:pPr>
      <w:r>
        <w:rPr>
          <w:rFonts w:hint="eastAsia"/>
        </w:rPr>
        <w:t>功率质量比系数PMR不低于250kW/t；</w:t>
      </w:r>
    </w:p>
    <w:p>
      <w:pPr>
        <w:pStyle w:val="19"/>
        <w:numPr>
          <w:ilvl w:val="0"/>
          <w:numId w:val="2"/>
        </w:numPr>
        <w:spacing w:line="400" w:lineRule="exact"/>
        <w:ind w:left="1259" w:firstLine="0" w:firstLineChars="0"/>
      </w:pPr>
      <w:r>
        <w:rPr>
          <w:rFonts w:hint="eastAsia"/>
        </w:rPr>
        <w:t>按照GB/T 18385—202X中6.4.2.1测得的0~100km/h加速时间不超过3.0s。</w:t>
      </w:r>
    </w:p>
    <w:p>
      <w:pPr>
        <w:spacing w:line="400" w:lineRule="exact"/>
        <w:ind w:left="420" w:firstLine="420"/>
      </w:pPr>
      <w:r>
        <w:rPr>
          <w:rFonts w:hint="eastAsia"/>
        </w:rPr>
        <w:t>2)对于GB/T 3730.1—2022中4.1.2规定的车型，同时满足下述特征：</w:t>
      </w:r>
    </w:p>
    <w:p>
      <w:pPr>
        <w:pStyle w:val="19"/>
        <w:numPr>
          <w:ilvl w:val="0"/>
          <w:numId w:val="3"/>
        </w:numPr>
        <w:spacing w:line="400" w:lineRule="exact"/>
        <w:ind w:left="1259" w:firstLine="0" w:firstLineChars="0"/>
      </w:pPr>
      <w:r>
        <w:rPr>
          <w:rFonts w:hint="eastAsia"/>
        </w:rPr>
        <w:t>功率质量比系数PMR不低于230kW/t；</w:t>
      </w:r>
    </w:p>
    <w:p>
      <w:pPr>
        <w:pStyle w:val="19"/>
        <w:numPr>
          <w:ilvl w:val="0"/>
          <w:numId w:val="3"/>
        </w:numPr>
        <w:spacing w:line="400" w:lineRule="exact"/>
        <w:ind w:left="1259" w:firstLine="0" w:firstLineChars="0"/>
      </w:pPr>
      <w:r>
        <w:rPr>
          <w:rFonts w:hint="eastAsia"/>
        </w:rPr>
        <w:t>按照GB/T 18385—202X中6.4.2.1测得的0~100km/h加速时间不超过3.3s。</w:t>
      </w:r>
    </w:p>
    <w:p>
      <w:pPr>
        <w:spacing w:line="400" w:lineRule="exact"/>
        <w:ind w:left="420" w:firstLine="420"/>
      </w:pPr>
      <w:r>
        <w:rPr>
          <w:rFonts w:hint="eastAsia"/>
        </w:rPr>
        <w:t>3)对于GB/T 3730.1—2022中4.1.3规定的车型，满足b）所述特征或同时满足下述特征：</w:t>
      </w:r>
    </w:p>
    <w:p>
      <w:pPr>
        <w:pStyle w:val="19"/>
        <w:numPr>
          <w:ilvl w:val="0"/>
          <w:numId w:val="4"/>
        </w:numPr>
        <w:spacing w:line="400" w:lineRule="exact"/>
        <w:ind w:left="1259" w:firstLine="0" w:firstLineChars="0"/>
      </w:pPr>
      <w:r>
        <w:rPr>
          <w:rFonts w:hint="eastAsia"/>
        </w:rPr>
        <w:t>功率质量比系数PMR不低于200kW/t，或扭矩质量比系数TMR不低于6000N·m/t；</w:t>
      </w:r>
    </w:p>
    <w:p>
      <w:pPr>
        <w:pStyle w:val="19"/>
        <w:numPr>
          <w:ilvl w:val="0"/>
          <w:numId w:val="4"/>
        </w:numPr>
        <w:spacing w:line="400" w:lineRule="exact"/>
        <w:ind w:left="1259" w:firstLine="0" w:firstLineChars="0"/>
      </w:pPr>
      <w:r>
        <w:rPr>
          <w:rFonts w:hint="eastAsia"/>
        </w:rPr>
        <w:t>按照GB/T 18385—202X中6.6测得最大爬坡度不低于100%。</w:t>
      </w:r>
    </w:p>
    <w:p>
      <w:pPr>
        <w:spacing w:line="400" w:lineRule="exact"/>
        <w:ind w:firstLine="422"/>
        <w:rPr>
          <w:b/>
          <w:bCs/>
        </w:rPr>
      </w:pPr>
      <w:r>
        <w:rPr>
          <w:rFonts w:hint="eastAsia"/>
          <w:b/>
          <w:bCs/>
        </w:rPr>
        <w:t>（6）与上一版本的主要差别</w:t>
      </w:r>
    </w:p>
    <w:p>
      <w:pPr>
        <w:spacing w:line="400" w:lineRule="exact"/>
        <w:ind w:firstLine="420"/>
      </w:pPr>
      <w:r>
        <w:rPr>
          <w:rFonts w:hint="eastAsia"/>
        </w:rPr>
        <w:t>与GB/T 36980—2018相比，主要技术变化有：</w:t>
      </w:r>
    </w:p>
    <w:p>
      <w:pPr>
        <w:spacing w:line="400" w:lineRule="exact"/>
        <w:ind w:firstLine="420"/>
      </w:pPr>
      <w:r>
        <w:rPr>
          <w:rFonts w:hint="eastAsia"/>
        </w:rPr>
        <w:t>a)</w:t>
      </w:r>
      <w:r>
        <w:rPr>
          <w:rFonts w:hint="eastAsia"/>
        </w:rPr>
        <w:tab/>
      </w:r>
      <w:r>
        <w:rPr>
          <w:rFonts w:hint="eastAsia"/>
        </w:rPr>
        <w:t>增加了型式认证的申请和确定；</w:t>
      </w:r>
    </w:p>
    <w:p>
      <w:pPr>
        <w:spacing w:line="400" w:lineRule="exact"/>
        <w:ind w:firstLine="420"/>
      </w:pPr>
      <w:r>
        <w:rPr>
          <w:rFonts w:hint="eastAsia"/>
        </w:rPr>
        <w:t>b)</w:t>
      </w:r>
      <w:r>
        <w:rPr>
          <w:rFonts w:hint="eastAsia"/>
        </w:rPr>
        <w:tab/>
      </w:r>
      <w:r>
        <w:rPr>
          <w:rFonts w:hint="eastAsia"/>
        </w:rPr>
        <w:t>更改了能量消耗量限值要求；</w:t>
      </w:r>
    </w:p>
    <w:p>
      <w:pPr>
        <w:spacing w:line="400" w:lineRule="exact"/>
        <w:ind w:firstLine="420"/>
      </w:pPr>
      <w:r>
        <w:rPr>
          <w:rFonts w:hint="eastAsia"/>
        </w:rPr>
        <w:t>c)</w:t>
      </w:r>
      <w:r>
        <w:rPr>
          <w:rFonts w:hint="eastAsia"/>
        </w:rPr>
        <w:tab/>
      </w:r>
      <w:r>
        <w:rPr>
          <w:rFonts w:hint="eastAsia"/>
        </w:rPr>
        <w:t>增加了生产一致性要求；</w:t>
      </w:r>
    </w:p>
    <w:p>
      <w:pPr>
        <w:spacing w:line="400" w:lineRule="exact"/>
        <w:ind w:firstLine="420"/>
      </w:pPr>
      <w:r>
        <w:rPr>
          <w:rFonts w:hint="eastAsia"/>
        </w:rPr>
        <w:t>d)</w:t>
      </w:r>
      <w:r>
        <w:rPr>
          <w:rFonts w:hint="eastAsia"/>
        </w:rPr>
        <w:tab/>
      </w:r>
      <w:r>
        <w:rPr>
          <w:rFonts w:hint="eastAsia"/>
        </w:rPr>
        <w:t>增加了同一型式判定要求；</w:t>
      </w:r>
    </w:p>
    <w:p>
      <w:pPr>
        <w:spacing w:line="400" w:lineRule="exact"/>
        <w:ind w:firstLine="420"/>
      </w:pPr>
      <w:r>
        <w:rPr>
          <w:rFonts w:hint="eastAsia"/>
        </w:rPr>
        <w:t>e)</w:t>
      </w:r>
      <w:r>
        <w:rPr>
          <w:rFonts w:hint="eastAsia"/>
        </w:rPr>
        <w:tab/>
      </w:r>
      <w:r>
        <w:rPr>
          <w:rFonts w:hint="eastAsia"/>
        </w:rPr>
        <w:t>增加了实施日期；</w:t>
      </w:r>
    </w:p>
    <w:p>
      <w:pPr>
        <w:spacing w:line="400" w:lineRule="exact"/>
        <w:ind w:firstLine="420"/>
      </w:pPr>
      <w:r>
        <w:rPr>
          <w:rFonts w:hint="eastAsia"/>
        </w:rPr>
        <w:t>f)</w:t>
      </w:r>
      <w:r>
        <w:rPr>
          <w:rFonts w:hint="eastAsia"/>
        </w:rPr>
        <w:tab/>
      </w:r>
      <w:r>
        <w:rPr>
          <w:rFonts w:hint="eastAsia"/>
        </w:rPr>
        <w:t>增加了能量消耗量型式认证报告/型式认证申请报告。</w:t>
      </w:r>
    </w:p>
    <w:p>
      <w:pPr>
        <w:spacing w:line="400" w:lineRule="exact"/>
        <w:ind w:firstLine="420"/>
      </w:pPr>
      <w:r>
        <w:rPr>
          <w:rFonts w:hint="eastAsia"/>
        </w:rPr>
        <w:t>其中，同一型式判定条件基于前期主管部门发布的实施文件内容，结合行业意见作了适当必要调整后形成，此项内容的纳入将有效降低企业的认证成本，具体要求如下。</w:t>
      </w:r>
    </w:p>
    <w:p>
      <w:pPr>
        <w:spacing w:line="400" w:lineRule="exact"/>
        <w:ind w:firstLine="420"/>
      </w:pPr>
      <w:r>
        <w:rPr>
          <w:rFonts w:hint="eastAsia"/>
        </w:rPr>
        <w:t>a)</w:t>
      </w:r>
      <w:r>
        <w:rPr>
          <w:rFonts w:hint="eastAsia"/>
        </w:rPr>
        <w:tab/>
      </w:r>
      <w:r>
        <w:rPr>
          <w:rFonts w:hint="eastAsia"/>
        </w:rPr>
        <w:t>单体蓄电池/超级电容器型号、生产企业相同；</w:t>
      </w:r>
    </w:p>
    <w:p>
      <w:pPr>
        <w:spacing w:line="400" w:lineRule="exact"/>
        <w:ind w:firstLine="420"/>
      </w:pPr>
      <w:r>
        <w:rPr>
          <w:rFonts w:hint="eastAsia"/>
        </w:rPr>
        <w:t>b)</w:t>
      </w:r>
      <w:r>
        <w:rPr>
          <w:rFonts w:hint="eastAsia"/>
        </w:rPr>
        <w:tab/>
      </w:r>
      <w:r>
        <w:rPr>
          <w:rFonts w:hint="eastAsia"/>
        </w:rPr>
        <w:t>动力蓄电池组/超级电容器组总成标称电压、总成标称容量相同；</w:t>
      </w:r>
    </w:p>
    <w:p>
      <w:pPr>
        <w:spacing w:line="400" w:lineRule="exact"/>
        <w:ind w:firstLine="420"/>
      </w:pPr>
      <w:r>
        <w:rPr>
          <w:rFonts w:hint="eastAsia"/>
        </w:rPr>
        <w:t>c)</w:t>
      </w:r>
      <w:r>
        <w:rPr>
          <w:rFonts w:hint="eastAsia"/>
        </w:rPr>
        <w:tab/>
      </w:r>
      <w:r>
        <w:rPr>
          <w:rFonts w:hint="eastAsia"/>
        </w:rPr>
        <w:t>动力蓄电池组/超级电容器组型号、生产企业相同；</w:t>
      </w:r>
    </w:p>
    <w:p>
      <w:pPr>
        <w:spacing w:line="400" w:lineRule="exact"/>
        <w:ind w:firstLine="420"/>
      </w:pPr>
      <w:r>
        <w:rPr>
          <w:rFonts w:hint="eastAsia"/>
        </w:rPr>
        <w:t>d)</w:t>
      </w:r>
      <w:r>
        <w:rPr>
          <w:rFonts w:hint="eastAsia"/>
        </w:rPr>
        <w:tab/>
      </w:r>
      <w:r>
        <w:rPr>
          <w:rFonts w:hint="eastAsia"/>
        </w:rPr>
        <w:t>驱动电机/发电机的型号、生产企业、位置和数量相同；</w:t>
      </w:r>
    </w:p>
    <w:p>
      <w:pPr>
        <w:spacing w:line="400" w:lineRule="exact"/>
        <w:ind w:firstLine="420"/>
      </w:pPr>
      <w:r>
        <w:rPr>
          <w:rFonts w:hint="eastAsia"/>
        </w:rPr>
        <w:t>e)</w:t>
      </w:r>
      <w:r>
        <w:rPr>
          <w:rFonts w:hint="eastAsia"/>
        </w:rPr>
        <w:tab/>
      </w:r>
      <w:r>
        <w:rPr>
          <w:rFonts w:hint="eastAsia"/>
        </w:rPr>
        <w:t>控制系统（包括整车控制器、车载能源管理系统、电机控制器）硬件型号、软件版本号及生产企业相同，通过OTA升级等形式对车辆软件进行升级的，若升级内容对环保、节能技术性能无影响，应附加符合相关技术标准及技术规范等要求的验证材料，经检测机构确认确实与相关技术性能无关时可视为满足同一型式；</w:t>
      </w:r>
    </w:p>
    <w:p>
      <w:pPr>
        <w:spacing w:line="400" w:lineRule="exact"/>
        <w:ind w:firstLine="420"/>
      </w:pPr>
      <w:r>
        <w:rPr>
          <w:rFonts w:hint="eastAsia"/>
        </w:rPr>
        <w:t>f)</w:t>
      </w:r>
      <w:r>
        <w:rPr>
          <w:rFonts w:hint="eastAsia"/>
        </w:rPr>
        <w:tab/>
      </w:r>
      <w:r>
        <w:rPr>
          <w:rFonts w:hint="eastAsia"/>
        </w:rPr>
        <w:t>驱动型式相同；</w:t>
      </w:r>
    </w:p>
    <w:p>
      <w:pPr>
        <w:spacing w:line="400" w:lineRule="exact"/>
        <w:ind w:firstLine="420"/>
      </w:pPr>
      <w:r>
        <w:rPr>
          <w:rFonts w:hint="eastAsia"/>
        </w:rPr>
        <w:t>g)</w:t>
      </w:r>
      <w:r>
        <w:rPr>
          <w:rFonts w:hint="eastAsia"/>
        </w:rPr>
        <w:tab/>
      </w:r>
      <w:r>
        <w:rPr>
          <w:rFonts w:hint="eastAsia"/>
        </w:rPr>
        <w:t>驱动电机、储能系统冷却型式相同（液冷、空冷等）；</w:t>
      </w:r>
    </w:p>
    <w:p>
      <w:pPr>
        <w:spacing w:line="400" w:lineRule="exact"/>
        <w:ind w:firstLine="420"/>
      </w:pPr>
      <w:r>
        <w:rPr>
          <w:rFonts w:hint="eastAsia"/>
        </w:rPr>
        <w:t>h)</w:t>
      </w:r>
      <w:r>
        <w:rPr>
          <w:rFonts w:hint="eastAsia"/>
        </w:rPr>
        <w:tab/>
      </w:r>
      <w:r>
        <w:rPr>
          <w:rFonts w:hint="eastAsia"/>
        </w:rPr>
        <w:t>整车测试质量相同或减少；</w:t>
      </w:r>
    </w:p>
    <w:p>
      <w:pPr>
        <w:spacing w:line="400" w:lineRule="exact"/>
        <w:ind w:firstLine="420"/>
      </w:pPr>
      <w:r>
        <w:rPr>
          <w:rFonts w:hint="eastAsia"/>
        </w:rPr>
        <w:t>i)</w:t>
      </w:r>
      <w:r>
        <w:rPr>
          <w:rFonts w:hint="eastAsia"/>
        </w:rPr>
        <w:tab/>
      </w:r>
      <w:r>
        <w:rPr>
          <w:rFonts w:hint="eastAsia"/>
        </w:rPr>
        <w:t>变速器型式相同；</w:t>
      </w:r>
    </w:p>
    <w:p>
      <w:pPr>
        <w:spacing w:line="400" w:lineRule="exact"/>
        <w:ind w:firstLine="420"/>
      </w:pPr>
      <w:r>
        <w:rPr>
          <w:rFonts w:hint="eastAsia"/>
        </w:rPr>
        <w:t>j)</w:t>
      </w:r>
      <w:r>
        <w:rPr>
          <w:rFonts w:hint="eastAsia"/>
        </w:rPr>
        <w:tab/>
      </w:r>
      <w:r>
        <w:rPr>
          <w:rFonts w:hint="eastAsia"/>
        </w:rPr>
        <w:t>变速器档位数相同，每一档位传动比相同或变化不超过8%；</w:t>
      </w:r>
    </w:p>
    <w:p>
      <w:pPr>
        <w:spacing w:line="400" w:lineRule="exact"/>
        <w:ind w:firstLine="420"/>
      </w:pPr>
      <w:r>
        <w:rPr>
          <w:rFonts w:hint="eastAsia"/>
        </w:rPr>
        <w:t>k)</w:t>
      </w:r>
      <w:r>
        <w:rPr>
          <w:rFonts w:hint="eastAsia"/>
        </w:rPr>
        <w:tab/>
      </w:r>
      <w:r>
        <w:rPr>
          <w:rFonts w:hint="eastAsia"/>
        </w:rPr>
        <w:t>轮胎静负荷半径变化不超过5%；</w:t>
      </w:r>
    </w:p>
    <w:p>
      <w:pPr>
        <w:spacing w:line="400" w:lineRule="exact"/>
        <w:ind w:firstLine="420"/>
      </w:pPr>
      <w:r>
        <w:rPr>
          <w:rFonts w:hint="eastAsia"/>
        </w:rPr>
        <w:t>l)</w:t>
      </w:r>
      <w:r>
        <w:rPr>
          <w:rFonts w:hint="eastAsia"/>
        </w:rPr>
        <w:tab/>
      </w:r>
      <w:r>
        <w:rPr>
          <w:rFonts w:hint="eastAsia"/>
        </w:rPr>
        <w:t>迎风面积及阻力系数相同或减小。；</w:t>
      </w:r>
    </w:p>
    <w:p>
      <w:pPr>
        <w:numPr>
          <w:ilvl w:val="0"/>
          <w:numId w:val="1"/>
        </w:numPr>
        <w:autoSpaceDE w:val="0"/>
        <w:autoSpaceDN w:val="0"/>
        <w:adjustRightInd w:val="0"/>
        <w:spacing w:before="156" w:beforeLines="50" w:after="156" w:afterLines="50" w:line="400" w:lineRule="exact"/>
        <w:ind w:left="567" w:hanging="567" w:firstLineChars="0"/>
        <w:jc w:val="left"/>
        <w:outlineLvl w:val="0"/>
        <w:rPr>
          <w:rFonts w:hint="eastAsia" w:ascii="黑体" w:hAnsi="黑体" w:eastAsia="黑体" w:cs="宋体"/>
          <w:bCs/>
          <w:color w:val="000000"/>
          <w:kern w:val="0"/>
          <w:sz w:val="24"/>
        </w:rPr>
      </w:pPr>
      <w:bookmarkStart w:id="35" w:name="_Toc64898477"/>
      <w:r>
        <w:rPr>
          <w:rFonts w:hint="eastAsia" w:ascii="黑体" w:hAnsi="黑体" w:eastAsia="黑体" w:cs="宋体"/>
          <w:bCs/>
          <w:color w:val="000000"/>
          <w:kern w:val="0"/>
          <w:sz w:val="24"/>
        </w:rPr>
        <w:t>与有关法律、行政法规和其他标准的关系</w:t>
      </w:r>
      <w:bookmarkEnd w:id="35"/>
    </w:p>
    <w:p>
      <w:pPr>
        <w:spacing w:line="400" w:lineRule="exact"/>
        <w:ind w:firstLine="420"/>
      </w:pPr>
      <w:r>
        <w:rPr>
          <w:rFonts w:hint="eastAsia"/>
        </w:rPr>
        <w:t>本标准是我国汽车节能管理的重要内容；与现行相关法律、法规、规章及相关标准没有冲突或矛盾。</w:t>
      </w:r>
    </w:p>
    <w:p>
      <w:pPr>
        <w:spacing w:line="400" w:lineRule="exact"/>
        <w:ind w:firstLine="420"/>
      </w:pPr>
      <w:r>
        <w:rPr>
          <w:rFonts w:hint="eastAsia"/>
        </w:rPr>
        <w:t>传统燃油车领域，我国主要采用“单车限值+企业平均”的管理方式，涉及的两项标准全部为强制性国家标准。其中单车限值主要依托GB 19578《乘用车燃料消耗量限值》，通过公告准入为车型燃料消耗量提出底线要求；企业平均则依托GB 27999《乘用车燃料消耗量评价方法及指标》，与“双积分”政策配合促使汽车整体燃料消耗量下降。两个标准互相补充、共同形成我国第五阶段乘用车燃料消耗量标准体系。其中，尽管GB 27999包含了电动乘用车的相关核算方式，但对于能量消耗量按0油耗处理（下一阶段将按热值法折算），而“双积分”政策中则进一步对电动乘用车的能量消耗量提出了指标要求。</w:t>
      </w:r>
    </w:p>
    <w:p>
      <w:pPr>
        <w:spacing w:line="400" w:lineRule="exact"/>
        <w:ind w:firstLine="420"/>
      </w:pPr>
      <w:r>
        <w:rPr>
          <w:rFonts w:hint="eastAsia"/>
        </w:rPr>
        <w:t>为保障本标准的科学制定，在主管部门指导下，起草组已全面完成了传统燃油车、混合动力汽车、纯电动汽车等相关车型能耗测试相关标准的制定工作，与本标准配套的标准为GB/T 18386.1—2021《电动汽车能量消耗量和续驶里程试验方法 第1部分：轻型汽车》。</w:t>
      </w:r>
    </w:p>
    <w:p>
      <w:pPr>
        <w:numPr>
          <w:ilvl w:val="0"/>
          <w:numId w:val="1"/>
        </w:numPr>
        <w:autoSpaceDE w:val="0"/>
        <w:autoSpaceDN w:val="0"/>
        <w:adjustRightInd w:val="0"/>
        <w:spacing w:before="156" w:beforeLines="50" w:after="156" w:afterLines="50" w:line="400" w:lineRule="exact"/>
        <w:ind w:left="567" w:hanging="567" w:firstLineChars="0"/>
        <w:jc w:val="left"/>
        <w:outlineLvl w:val="0"/>
        <w:rPr>
          <w:rFonts w:hint="eastAsia" w:ascii="黑体" w:hAnsi="黑体" w:eastAsia="黑体" w:cs="宋体"/>
          <w:bCs/>
          <w:color w:val="000000"/>
          <w:kern w:val="0"/>
          <w:sz w:val="24"/>
        </w:rPr>
      </w:pPr>
      <w:bookmarkStart w:id="36" w:name="_Toc64898478"/>
      <w:r>
        <w:rPr>
          <w:rFonts w:hint="eastAsia" w:ascii="黑体" w:hAnsi="黑体" w:eastAsia="黑体" w:cs="宋体"/>
          <w:bCs/>
          <w:color w:val="000000"/>
          <w:kern w:val="0"/>
          <w:sz w:val="24"/>
        </w:rPr>
        <w:t>与国际标准化组织、其他国家或者地区有关法律法规和标准的比对分析</w:t>
      </w:r>
      <w:bookmarkEnd w:id="36"/>
    </w:p>
    <w:p>
      <w:pPr>
        <w:spacing w:line="400" w:lineRule="exact"/>
        <w:ind w:firstLine="420"/>
      </w:pPr>
      <w:r>
        <w:rPr>
          <w:rFonts w:hint="eastAsia"/>
        </w:rPr>
        <w:t>能源和环境问题是全球汽车行业共同面临的两大挑战，汽车节能已经成为全球汽车行业的发展趋势。为应对全球性的资源短缺和气候变暖，巩固和提高本国汽车工业未来国际竞争力，欧美日等汽车工业发达国家都在采取积极措施推动和促进本国汽车节能技术发展、提高汽车燃料经济性水平，上述国家和地区已经完成针对2025甚至更长期的汽车节能标准法规、政策措施的研究与制定工作。</w:t>
      </w:r>
    </w:p>
    <w:p>
      <w:pPr>
        <w:spacing w:line="400" w:lineRule="exact"/>
        <w:ind w:firstLine="420"/>
      </w:pPr>
      <w:r>
        <w:rPr>
          <w:rFonts w:hint="eastAsia"/>
        </w:rPr>
        <w:t>标准法规管理体系方面，乘用车能量消耗量限值标准属于产品管理类标准法规，国际标准化组织并不涉及相应标准；欧洲、美国、日本等国际主流国家和地区均采用企业平均能量消耗量的管理方式。对于车辆电耗管理，日本采用考虑上游的热值法折合为当量油耗，进行企业平均能量消耗量的核算，正在执行的</w:t>
      </w:r>
      <w:r>
        <w:t>2020</w:t>
      </w:r>
      <w:r>
        <w:rPr>
          <w:rFonts w:hint="eastAsia"/>
        </w:rPr>
        <w:t>~2029</w:t>
      </w:r>
      <w:r>
        <w:t>年</w:t>
      </w:r>
      <w:r>
        <w:rPr>
          <w:rFonts w:hint="eastAsia"/>
        </w:rPr>
        <w:t>标准指标为</w:t>
      </w:r>
      <w:r>
        <w:t>20.1 km/L（约</w:t>
      </w:r>
      <w:r>
        <w:rPr>
          <w:rFonts w:hint="eastAsia"/>
        </w:rPr>
        <w:t>4</w:t>
      </w:r>
      <w:r>
        <w:t>.9 L/100km）</w:t>
      </w:r>
      <w:r>
        <w:rPr>
          <w:rFonts w:hint="eastAsia"/>
        </w:rPr>
        <w:t>，但该指标仅为传统燃油车的要求，对于纯电动汽车、插电式混合动力汽车，相关结果可参与核算（电量消耗量按照热值法折算），但鉴于总体销量有限，参与核算前后对结果影响不大。美国采用石油当量系数的方式折合为当量油耗，进行企业平均能量消耗量的核算，并提出</w:t>
      </w:r>
      <w:r>
        <w:t>2026</w:t>
      </w:r>
      <w:r>
        <w:rPr>
          <w:rFonts w:hint="eastAsia"/>
        </w:rPr>
        <w:t>年乘用车平均需达到</w:t>
      </w:r>
      <w:r>
        <w:t>47.7</w:t>
      </w:r>
      <w:r>
        <w:rPr>
          <w:rFonts w:hint="eastAsia"/>
        </w:rPr>
        <w:t xml:space="preserve"> </w:t>
      </w:r>
      <w:r>
        <w:t>mpg</w:t>
      </w:r>
      <w:r>
        <w:rPr>
          <w:rFonts w:hint="eastAsia"/>
        </w:rPr>
        <w:t>，约合</w:t>
      </w:r>
      <w:r>
        <w:t>5.3</w:t>
      </w:r>
      <w:r>
        <w:rPr>
          <w:rFonts w:hint="eastAsia"/>
        </w:rPr>
        <w:t xml:space="preserve"> </w:t>
      </w:r>
      <w:r>
        <w:t>L/100km</w:t>
      </w:r>
      <w:r>
        <w:rPr>
          <w:rFonts w:hint="eastAsia"/>
        </w:rPr>
        <w:t>左右，2024年3月，美国政府更新发布了针对2027-2032车型年的轻型汽车GHG法规，提出2032年乘用车新车行业平均CO</w:t>
      </w:r>
      <w:r>
        <w:rPr>
          <w:rFonts w:hint="eastAsia"/>
          <w:vertAlign w:val="subscript"/>
        </w:rPr>
        <w:t>2</w:t>
      </w:r>
      <w:r>
        <w:rPr>
          <w:rFonts w:hint="eastAsia"/>
        </w:rPr>
        <w:t>排放水平达到73 g/mi，约合1.9 L/100km左右，相较于2026年</w:t>
      </w:r>
      <w:r>
        <w:t>CAFÉ</w:t>
      </w:r>
      <w:r>
        <w:rPr>
          <w:rFonts w:hint="eastAsia"/>
        </w:rPr>
        <w:t>法规加严超60%。其他国家和地区大都按照电耗为0油耗的方式进行核算。目前，欧盟也在开展制定电耗限值可行性研究。</w:t>
      </w:r>
    </w:p>
    <w:p>
      <w:pPr>
        <w:spacing w:line="400" w:lineRule="exact"/>
        <w:ind w:firstLine="420"/>
      </w:pPr>
      <w:r>
        <w:rPr>
          <w:rFonts w:hint="eastAsia"/>
        </w:rPr>
        <w:t>尽管各国乘用车保有结构和技术特征存在一定差别，对乘用车节能指标的要求也不同，但从整体来看，各国都在通过技术标准和法规不断加严乘用车能量消耗量要求。对于电耗管理，我国在全球层面发布了首个针对于纯电动乘用车电耗限值标准GB/T 36980—2018，双积分、财税等相关产业政策中也均包含电耗要求，有效推动了纯电动乘用车这一细分车型的节能降耗。</w:t>
      </w:r>
    </w:p>
    <w:p>
      <w:pPr>
        <w:numPr>
          <w:ilvl w:val="0"/>
          <w:numId w:val="1"/>
        </w:numPr>
        <w:autoSpaceDE w:val="0"/>
        <w:autoSpaceDN w:val="0"/>
        <w:adjustRightInd w:val="0"/>
        <w:spacing w:before="156" w:beforeLines="50" w:after="156" w:afterLines="50" w:line="400" w:lineRule="exact"/>
        <w:ind w:left="567" w:hanging="567" w:firstLineChars="0"/>
        <w:jc w:val="left"/>
        <w:outlineLvl w:val="0"/>
        <w:rPr>
          <w:rFonts w:hint="eastAsia" w:ascii="黑体" w:hAnsi="黑体" w:eastAsia="黑体" w:cs="宋体"/>
          <w:bCs/>
          <w:color w:val="000000"/>
          <w:kern w:val="0"/>
          <w:sz w:val="24"/>
        </w:rPr>
      </w:pPr>
      <w:bookmarkStart w:id="37" w:name="_Toc64898479"/>
      <w:r>
        <w:rPr>
          <w:rFonts w:hint="eastAsia" w:ascii="黑体" w:hAnsi="黑体" w:eastAsia="黑体" w:cs="宋体"/>
          <w:bCs/>
          <w:color w:val="000000"/>
          <w:kern w:val="0"/>
          <w:sz w:val="24"/>
        </w:rPr>
        <w:t>重大分歧意见的处理过程、处理意见及其依据</w:t>
      </w:r>
      <w:bookmarkEnd w:id="37"/>
    </w:p>
    <w:p>
      <w:pPr>
        <w:spacing w:line="400" w:lineRule="exact"/>
        <w:ind w:firstLine="420"/>
      </w:pPr>
      <w:r>
        <w:rPr>
          <w:rFonts w:hint="eastAsia"/>
        </w:rPr>
        <w:t>本标准修订过程中无重大分歧。</w:t>
      </w:r>
    </w:p>
    <w:p>
      <w:pPr>
        <w:numPr>
          <w:ilvl w:val="0"/>
          <w:numId w:val="1"/>
        </w:numPr>
        <w:autoSpaceDE w:val="0"/>
        <w:autoSpaceDN w:val="0"/>
        <w:adjustRightInd w:val="0"/>
        <w:spacing w:before="156" w:beforeLines="50" w:after="156" w:afterLines="50" w:line="400" w:lineRule="exact"/>
        <w:ind w:left="567" w:hanging="567" w:firstLineChars="0"/>
        <w:jc w:val="left"/>
        <w:outlineLvl w:val="0"/>
        <w:rPr>
          <w:rFonts w:hint="eastAsia" w:ascii="黑体" w:hAnsi="黑体" w:eastAsia="黑体" w:cs="宋体"/>
          <w:bCs/>
          <w:color w:val="000000"/>
          <w:kern w:val="0"/>
          <w:sz w:val="24"/>
        </w:rPr>
      </w:pPr>
      <w:bookmarkStart w:id="38" w:name="_Toc64898480"/>
      <w:r>
        <w:rPr>
          <w:rFonts w:hint="eastAsia" w:ascii="黑体" w:hAnsi="黑体" w:eastAsia="黑体" w:cs="宋体"/>
          <w:bCs/>
          <w:color w:val="000000"/>
          <w:kern w:val="0"/>
          <w:sz w:val="24"/>
        </w:rPr>
        <w:t>对强制性国家标准自发布日期至实施日期之间的过渡期的建议及理由</w:t>
      </w:r>
      <w:bookmarkEnd w:id="38"/>
    </w:p>
    <w:p>
      <w:pPr>
        <w:spacing w:line="400" w:lineRule="exact"/>
        <w:ind w:firstLine="420"/>
      </w:pPr>
      <w:r>
        <w:rPr>
          <w:rFonts w:hint="eastAsia"/>
        </w:rPr>
        <w:t>考虑</w:t>
      </w:r>
      <w:r>
        <w:t>到</w:t>
      </w:r>
      <w:r>
        <w:rPr>
          <w:rFonts w:hint="eastAsia"/>
        </w:rPr>
        <w:t>能量</w:t>
      </w:r>
      <w:r>
        <w:t>消耗量限值</w:t>
      </w:r>
      <w:r>
        <w:rPr>
          <w:rFonts w:hint="eastAsia"/>
        </w:rPr>
        <w:t>更新</w:t>
      </w:r>
      <w:r>
        <w:t>后，</w:t>
      </w:r>
      <w:r>
        <w:rPr>
          <w:rFonts w:hint="eastAsia"/>
        </w:rPr>
        <w:t>乘用车</w:t>
      </w:r>
      <w:r>
        <w:t>节能技术的研发</w:t>
      </w:r>
      <w:r>
        <w:rPr>
          <w:rFonts w:hint="eastAsia"/>
        </w:rPr>
        <w:t>和</w:t>
      </w:r>
      <w:r>
        <w:t>应用</w:t>
      </w:r>
      <w:r>
        <w:rPr>
          <w:rFonts w:hint="eastAsia"/>
        </w:rPr>
        <w:t>需要</w:t>
      </w:r>
      <w:r>
        <w:t>一定周期，因此</w:t>
      </w:r>
      <w:r>
        <w:rPr>
          <w:rFonts w:hint="eastAsia"/>
        </w:rPr>
        <w:t>标准发布后</w:t>
      </w:r>
      <w:r>
        <w:t>设定</w:t>
      </w:r>
      <w:r>
        <w:rPr>
          <w:rFonts w:hint="eastAsia"/>
        </w:rPr>
        <w:t>半年以上</w:t>
      </w:r>
      <w:r>
        <w:t>实施过渡期</w:t>
      </w:r>
      <w:r>
        <w:rPr>
          <w:rFonts w:hint="eastAsia"/>
        </w:rPr>
        <w:t>。对于新申请型式批准的车型，建议自202</w:t>
      </w:r>
      <w:r>
        <w:t>6</w:t>
      </w:r>
      <w:r>
        <w:rPr>
          <w:rFonts w:hint="eastAsia"/>
        </w:rPr>
        <w:t>年</w:t>
      </w:r>
      <w:r>
        <w:t>1</w:t>
      </w:r>
      <w:r>
        <w:rPr>
          <w:rFonts w:hint="eastAsia"/>
        </w:rPr>
        <w:t>月1日起实施；对于已获得型式批准的车型，建议自202</w:t>
      </w:r>
      <w:r>
        <w:t>8</w:t>
      </w:r>
      <w:r>
        <w:rPr>
          <w:rFonts w:hint="eastAsia"/>
        </w:rPr>
        <w:t>年1月1日起实施。</w:t>
      </w:r>
    </w:p>
    <w:p>
      <w:pPr>
        <w:numPr>
          <w:ilvl w:val="0"/>
          <w:numId w:val="1"/>
        </w:numPr>
        <w:autoSpaceDE w:val="0"/>
        <w:autoSpaceDN w:val="0"/>
        <w:adjustRightInd w:val="0"/>
        <w:spacing w:before="156" w:beforeLines="50" w:after="156" w:afterLines="50" w:line="400" w:lineRule="exact"/>
        <w:ind w:left="567" w:hanging="567" w:firstLineChars="0"/>
        <w:jc w:val="left"/>
        <w:outlineLvl w:val="0"/>
        <w:rPr>
          <w:rFonts w:hint="eastAsia" w:ascii="黑体" w:hAnsi="黑体" w:eastAsia="黑体" w:cs="宋体"/>
          <w:bCs/>
          <w:color w:val="000000"/>
          <w:kern w:val="0"/>
          <w:sz w:val="24"/>
        </w:rPr>
      </w:pPr>
      <w:bookmarkStart w:id="39" w:name="_Toc64898481"/>
      <w:r>
        <w:rPr>
          <w:rFonts w:hint="eastAsia" w:ascii="黑体" w:hAnsi="黑体" w:eastAsia="黑体" w:cs="宋体"/>
          <w:bCs/>
          <w:color w:val="000000"/>
          <w:kern w:val="0"/>
          <w:sz w:val="24"/>
        </w:rPr>
        <w:t>与实施强制性国家标准有关的政策措施</w:t>
      </w:r>
      <w:bookmarkEnd w:id="39"/>
    </w:p>
    <w:p>
      <w:pPr>
        <w:spacing w:line="400" w:lineRule="exact"/>
        <w:ind w:firstLine="420"/>
      </w:pPr>
      <w:r>
        <w:rPr>
          <w:rFonts w:hint="eastAsia"/>
        </w:rPr>
        <w:t>本标准的实施监督管理部门是工业和信息化部</w:t>
      </w:r>
      <w:r>
        <w:rPr>
          <w:rFonts w:hint="eastAsia"/>
          <w:lang w:val="en-US" w:eastAsia="zh-CN"/>
        </w:rPr>
        <w:t>和市场监督管理总局</w:t>
      </w:r>
      <w:r>
        <w:rPr>
          <w:rFonts w:hint="eastAsia"/>
        </w:rPr>
        <w:t>。根据《国务院对确需保留的行政审批项目设定行政许可的决定》，工信部负责对汽车产品实施准入管理。对不符合强制性标准要求的产品，工信部不允许进入公告目录，进行生产。主要法规依据是：</w:t>
      </w:r>
    </w:p>
    <w:p>
      <w:pPr>
        <w:spacing w:line="400" w:lineRule="exact"/>
        <w:ind w:firstLine="420"/>
      </w:pPr>
      <w:r>
        <w:rPr>
          <w:rFonts w:hint="eastAsia"/>
        </w:rPr>
        <w:t>1. 《中华人民共和国标准化法(2017修订)》第二十五条规定：不符合强制性标准的产品、服务，不得生产、销售、进口或者提供。</w:t>
      </w:r>
    </w:p>
    <w:p>
      <w:pPr>
        <w:spacing w:line="400" w:lineRule="exact"/>
        <w:ind w:firstLine="420"/>
      </w:pPr>
      <w:r>
        <w:rPr>
          <w:rFonts w:hint="eastAsia"/>
        </w:rPr>
        <w:t>2. 《道路机动车辆生产企业及产品准入管理办法》（工信部 2018年第50号令）第六条明确提出：申请道路机动车辆产品准入的，生产的道路机动车辆产品应当能够满足安全、环保、节能、防盗等技术标准以及工业和信息化部制定发布的安全技术条件。</w:t>
      </w:r>
    </w:p>
    <w:p>
      <w:pPr>
        <w:spacing w:line="400" w:lineRule="exact"/>
        <w:ind w:firstLine="420"/>
      </w:pPr>
      <w:r>
        <w:rPr>
          <w:rFonts w:hint="eastAsia"/>
        </w:rPr>
        <w:t>第三十九条 违反本办法规定，未经准入擅自生产、销售道路机动车辆产品的，工业和信息化部应当依照《中华人民共和国道路交通安全法》第一百零三条第三款的规定予以处罚。</w:t>
      </w:r>
    </w:p>
    <w:p>
      <w:pPr>
        <w:numPr>
          <w:ilvl w:val="0"/>
          <w:numId w:val="1"/>
        </w:numPr>
        <w:autoSpaceDE w:val="0"/>
        <w:autoSpaceDN w:val="0"/>
        <w:adjustRightInd w:val="0"/>
        <w:spacing w:before="156" w:beforeLines="50" w:after="156" w:afterLines="50" w:line="400" w:lineRule="exact"/>
        <w:ind w:left="567" w:hanging="567" w:firstLineChars="0"/>
        <w:jc w:val="left"/>
        <w:outlineLvl w:val="0"/>
        <w:rPr>
          <w:rFonts w:hint="eastAsia" w:ascii="黑体" w:hAnsi="黑体" w:eastAsia="黑体" w:cs="宋体"/>
          <w:bCs/>
          <w:color w:val="000000"/>
          <w:kern w:val="0"/>
          <w:sz w:val="24"/>
        </w:rPr>
      </w:pPr>
      <w:bookmarkStart w:id="40" w:name="_Toc64898482"/>
      <w:r>
        <w:rPr>
          <w:rFonts w:hint="eastAsia" w:ascii="黑体" w:hAnsi="黑体" w:eastAsia="黑体" w:cs="宋体"/>
          <w:bCs/>
          <w:color w:val="000000"/>
          <w:kern w:val="0"/>
          <w:sz w:val="24"/>
        </w:rPr>
        <w:t>是否需要对外通报的建议及理由</w:t>
      </w:r>
      <w:bookmarkEnd w:id="40"/>
    </w:p>
    <w:p>
      <w:pPr>
        <w:spacing w:line="400" w:lineRule="exact"/>
        <w:ind w:firstLine="420"/>
      </w:pPr>
      <w:r>
        <w:rPr>
          <w:rFonts w:hint="eastAsia"/>
        </w:rPr>
        <w:t>本标准为强制性国家标准，不符合标准的车型不允许纳入准入，对企业车型技术研发布局有较大影响，建议对外通报。</w:t>
      </w:r>
    </w:p>
    <w:p>
      <w:pPr>
        <w:numPr>
          <w:ilvl w:val="0"/>
          <w:numId w:val="1"/>
        </w:numPr>
        <w:autoSpaceDE w:val="0"/>
        <w:autoSpaceDN w:val="0"/>
        <w:adjustRightInd w:val="0"/>
        <w:spacing w:before="156" w:beforeLines="50" w:after="156" w:afterLines="50" w:line="400" w:lineRule="exact"/>
        <w:ind w:left="567" w:hanging="567" w:firstLineChars="0"/>
        <w:jc w:val="left"/>
        <w:outlineLvl w:val="0"/>
        <w:rPr>
          <w:rFonts w:hint="eastAsia" w:ascii="黑体" w:hAnsi="黑体" w:eastAsia="黑体" w:cs="宋体"/>
          <w:bCs/>
          <w:color w:val="000000"/>
          <w:kern w:val="0"/>
          <w:sz w:val="24"/>
        </w:rPr>
      </w:pPr>
      <w:bookmarkStart w:id="41" w:name="_Toc64898483"/>
      <w:r>
        <w:rPr>
          <w:rFonts w:hint="eastAsia" w:ascii="黑体" w:hAnsi="黑体" w:eastAsia="黑体" w:cs="宋体"/>
          <w:bCs/>
          <w:color w:val="000000"/>
          <w:kern w:val="0"/>
          <w:sz w:val="24"/>
        </w:rPr>
        <w:t>废止现行有关标准的建议</w:t>
      </w:r>
      <w:bookmarkEnd w:id="41"/>
    </w:p>
    <w:p>
      <w:pPr>
        <w:spacing w:line="400" w:lineRule="exact"/>
        <w:ind w:firstLine="420"/>
      </w:pPr>
      <w:r>
        <w:rPr>
          <w:rFonts w:hint="eastAsia"/>
        </w:rPr>
        <w:t>自本标准实施之日起废止GB/T 36980—2018。</w:t>
      </w:r>
    </w:p>
    <w:p>
      <w:pPr>
        <w:numPr>
          <w:ilvl w:val="0"/>
          <w:numId w:val="1"/>
        </w:numPr>
        <w:autoSpaceDE w:val="0"/>
        <w:autoSpaceDN w:val="0"/>
        <w:adjustRightInd w:val="0"/>
        <w:spacing w:before="156" w:beforeLines="50" w:after="156" w:afterLines="50" w:line="400" w:lineRule="exact"/>
        <w:ind w:left="567" w:hanging="567" w:firstLineChars="0"/>
        <w:jc w:val="left"/>
        <w:outlineLvl w:val="0"/>
        <w:rPr>
          <w:rFonts w:hint="eastAsia" w:ascii="黑体" w:hAnsi="黑体" w:eastAsia="黑体" w:cs="宋体"/>
          <w:bCs/>
          <w:color w:val="000000"/>
          <w:kern w:val="0"/>
          <w:sz w:val="24"/>
        </w:rPr>
      </w:pPr>
      <w:bookmarkStart w:id="42" w:name="_Toc64898484"/>
      <w:r>
        <w:rPr>
          <w:rFonts w:hint="eastAsia" w:ascii="黑体" w:hAnsi="黑体" w:eastAsia="黑体" w:cs="宋体"/>
          <w:bCs/>
          <w:color w:val="000000"/>
          <w:kern w:val="0"/>
          <w:sz w:val="24"/>
        </w:rPr>
        <w:t>涉及专利的有关说明</w:t>
      </w:r>
      <w:bookmarkEnd w:id="42"/>
    </w:p>
    <w:p>
      <w:pPr>
        <w:spacing w:line="400" w:lineRule="exact"/>
        <w:ind w:firstLine="420"/>
      </w:pPr>
      <w:r>
        <w:rPr>
          <w:rFonts w:hint="eastAsia"/>
        </w:rPr>
        <w:t>本标准不涉及专利。</w:t>
      </w:r>
    </w:p>
    <w:p>
      <w:pPr>
        <w:numPr>
          <w:ilvl w:val="0"/>
          <w:numId w:val="1"/>
        </w:numPr>
        <w:autoSpaceDE w:val="0"/>
        <w:autoSpaceDN w:val="0"/>
        <w:adjustRightInd w:val="0"/>
        <w:spacing w:before="156" w:beforeLines="50" w:after="156" w:afterLines="50" w:line="400" w:lineRule="exact"/>
        <w:ind w:left="567" w:hanging="567" w:firstLineChars="0"/>
        <w:jc w:val="left"/>
        <w:outlineLvl w:val="0"/>
        <w:rPr>
          <w:rFonts w:hint="eastAsia" w:ascii="黑体" w:hAnsi="黑体" w:eastAsia="黑体" w:cs="宋体"/>
          <w:bCs/>
          <w:color w:val="000000"/>
          <w:kern w:val="0"/>
          <w:sz w:val="24"/>
        </w:rPr>
      </w:pPr>
      <w:bookmarkStart w:id="43" w:name="_Toc64898485"/>
      <w:r>
        <w:rPr>
          <w:rFonts w:hint="eastAsia" w:ascii="黑体" w:hAnsi="黑体" w:eastAsia="黑体" w:cs="宋体"/>
          <w:bCs/>
          <w:color w:val="000000"/>
          <w:kern w:val="0"/>
          <w:sz w:val="24"/>
        </w:rPr>
        <w:t>强制性国家标准所涉及的产品、过程或者服务目录</w:t>
      </w:r>
      <w:bookmarkEnd w:id="43"/>
    </w:p>
    <w:p>
      <w:pPr>
        <w:spacing w:line="400" w:lineRule="exact"/>
        <w:ind w:firstLine="420"/>
      </w:pPr>
      <w:r>
        <w:rPr>
          <w:rFonts w:hint="eastAsia"/>
        </w:rPr>
        <w:t>本文件适用于最大设计总质量不超过3 500 kg的M</w:t>
      </w:r>
      <w:r>
        <w:rPr>
          <w:rFonts w:hint="eastAsia"/>
          <w:vertAlign w:val="subscript"/>
        </w:rPr>
        <w:t>1</w:t>
      </w:r>
      <w:r>
        <w:rPr>
          <w:rFonts w:hint="eastAsia"/>
        </w:rPr>
        <w:t>类纯电动汽车。</w:t>
      </w:r>
    </w:p>
    <w:p>
      <w:pPr>
        <w:numPr>
          <w:ilvl w:val="0"/>
          <w:numId w:val="1"/>
        </w:numPr>
        <w:autoSpaceDE w:val="0"/>
        <w:autoSpaceDN w:val="0"/>
        <w:adjustRightInd w:val="0"/>
        <w:spacing w:before="156" w:beforeLines="50" w:after="156" w:afterLines="50" w:line="400" w:lineRule="exact"/>
        <w:ind w:left="567" w:hanging="567" w:firstLineChars="0"/>
        <w:jc w:val="left"/>
        <w:outlineLvl w:val="0"/>
        <w:rPr>
          <w:rFonts w:hint="eastAsia" w:ascii="黑体" w:hAnsi="黑体" w:eastAsia="黑体" w:cs="宋体"/>
          <w:bCs/>
          <w:color w:val="000000"/>
          <w:kern w:val="0"/>
          <w:sz w:val="24"/>
        </w:rPr>
      </w:pPr>
      <w:bookmarkStart w:id="44" w:name="_Toc64898486"/>
      <w:r>
        <w:rPr>
          <w:rFonts w:hint="eastAsia" w:ascii="黑体" w:hAnsi="黑体" w:eastAsia="黑体" w:cs="宋体"/>
          <w:bCs/>
          <w:color w:val="000000"/>
          <w:kern w:val="0"/>
          <w:sz w:val="24"/>
        </w:rPr>
        <w:t>其他应当予以说明的事项</w:t>
      </w:r>
      <w:bookmarkEnd w:id="31"/>
      <w:bookmarkEnd w:id="44"/>
    </w:p>
    <w:p>
      <w:pPr>
        <w:spacing w:line="400" w:lineRule="exact"/>
        <w:ind w:firstLine="420"/>
      </w:pPr>
      <w:r>
        <w:rPr>
          <w:rFonts w:hint="eastAsia"/>
        </w:rPr>
        <w:t>为分阶段有效推动各类纯电动车型的节能降耗，促进产业的高质量发展，标准修订后拟采取系列标准的方式提出，本标准为第1部分，仅适用于乘用车型，后续将结合产业发展适时启动轻型商用车、重型商用车部分的制定。由此，特将标准名称修改为《电动汽车能量消耗量限值 第1部分：乘用车》。</w:t>
      </w:r>
    </w:p>
    <w:sectPr>
      <w:headerReference r:id="rId12" w:type="first"/>
      <w:footerReference r:id="rId14" w:type="first"/>
      <w:headerReference r:id="rId11" w:type="default"/>
      <w:footerReference r:id="rId13" w:type="default"/>
      <w:pgSz w:w="11906" w:h="16838"/>
      <w:pgMar w:top="1440" w:right="1800" w:bottom="1440" w:left="1800" w:header="851" w:footer="992" w:gutter="0"/>
      <w:pgNumType w:start="1"/>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4266888"/>
    </w:sdtPr>
    <w:sdtContent>
      <w:p>
        <w:pPr>
          <w:pStyle w:val="4"/>
          <w:ind w:firstLine="360"/>
          <w:jc w:val="center"/>
        </w:pPr>
        <w:r>
          <w:fldChar w:fldCharType="begin"/>
        </w:r>
        <w:r>
          <w:instrText xml:space="preserve">PAGE   \* MERGEFORMAT</w:instrText>
        </w:r>
        <w:r>
          <w:fldChar w:fldCharType="separate"/>
        </w:r>
        <w:r>
          <w:rPr>
            <w:lang w:val="zh-CN"/>
          </w:rPr>
          <w:t>2</w:t>
        </w:r>
        <w:r>
          <w:fldChar w:fldCharType="end"/>
        </w:r>
      </w:p>
    </w:sdtContent>
  </w:sdt>
  <w:p>
    <w:pPr>
      <w:pStyle w:val="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4259378"/>
    </w:sdtPr>
    <w:sdtContent>
      <w:p>
        <w:pPr>
          <w:pStyle w:val="4"/>
          <w:ind w:firstLine="360"/>
          <w:jc w:val="center"/>
        </w:pPr>
        <w:r>
          <w:fldChar w:fldCharType="begin"/>
        </w:r>
        <w:r>
          <w:instrText xml:space="preserve">PAGE   \* MERGEFORMAT</w:instrText>
        </w:r>
        <w:r>
          <w:fldChar w:fldCharType="separate"/>
        </w:r>
        <w:r>
          <w:rPr>
            <w:lang w:val="zh-CN"/>
          </w:rPr>
          <w:t>2</w:t>
        </w:r>
        <w:r>
          <w:fldChar w:fldCharType="end"/>
        </w:r>
      </w:p>
    </w:sdtContent>
  </w:sdt>
  <w:p>
    <w:pPr>
      <w:pStyle w:val="4"/>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r>
      <w:rPr>
        <w:rFonts w:hint="eastAsia"/>
      </w:rPr>
      <w:t>《电动汽车能量消耗量限值 第1部分：乘用车》（征求意见稿）编制说明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r>
      <w:rPr>
        <w:rFonts w:hint="eastAsia"/>
      </w:rPr>
      <w:t>《电动汽车能量消耗量限值 第1部分：乘用车》（征求意见稿）编制说明</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r>
      <w:rPr>
        <w:rFonts w:hint="eastAsia"/>
      </w:rPr>
      <w:t>《电动汽车能量消耗量限值 第1部分：乘用车》（征求意见稿）编制说明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C836F6"/>
    <w:multiLevelType w:val="multilevel"/>
    <w:tmpl w:val="03C836F6"/>
    <w:lvl w:ilvl="0" w:tentative="0">
      <w:start w:val="1"/>
      <w:numFmt w:val="lowerRoman"/>
      <w:lvlText w:val="%1."/>
      <w:lvlJc w:val="right"/>
      <w:pPr>
        <w:ind w:left="1700" w:hanging="440"/>
      </w:pPr>
    </w:lvl>
    <w:lvl w:ilvl="1" w:tentative="0">
      <w:start w:val="1"/>
      <w:numFmt w:val="lowerLetter"/>
      <w:lvlText w:val="%2)"/>
      <w:lvlJc w:val="left"/>
      <w:pPr>
        <w:ind w:left="2140" w:hanging="440"/>
      </w:pPr>
    </w:lvl>
    <w:lvl w:ilvl="2" w:tentative="0">
      <w:start w:val="1"/>
      <w:numFmt w:val="lowerRoman"/>
      <w:lvlText w:val="%3."/>
      <w:lvlJc w:val="right"/>
      <w:pPr>
        <w:ind w:left="2580" w:hanging="440"/>
      </w:pPr>
    </w:lvl>
    <w:lvl w:ilvl="3" w:tentative="0">
      <w:start w:val="1"/>
      <w:numFmt w:val="decimal"/>
      <w:lvlText w:val="%4."/>
      <w:lvlJc w:val="left"/>
      <w:pPr>
        <w:ind w:left="3020" w:hanging="440"/>
      </w:pPr>
    </w:lvl>
    <w:lvl w:ilvl="4" w:tentative="0">
      <w:start w:val="1"/>
      <w:numFmt w:val="lowerLetter"/>
      <w:lvlText w:val="%5)"/>
      <w:lvlJc w:val="left"/>
      <w:pPr>
        <w:ind w:left="3460" w:hanging="440"/>
      </w:pPr>
    </w:lvl>
    <w:lvl w:ilvl="5" w:tentative="0">
      <w:start w:val="1"/>
      <w:numFmt w:val="lowerRoman"/>
      <w:lvlText w:val="%6."/>
      <w:lvlJc w:val="right"/>
      <w:pPr>
        <w:ind w:left="3900" w:hanging="440"/>
      </w:pPr>
    </w:lvl>
    <w:lvl w:ilvl="6" w:tentative="0">
      <w:start w:val="1"/>
      <w:numFmt w:val="decimal"/>
      <w:lvlText w:val="%7."/>
      <w:lvlJc w:val="left"/>
      <w:pPr>
        <w:ind w:left="4340" w:hanging="440"/>
      </w:pPr>
    </w:lvl>
    <w:lvl w:ilvl="7" w:tentative="0">
      <w:start w:val="1"/>
      <w:numFmt w:val="lowerLetter"/>
      <w:lvlText w:val="%8)"/>
      <w:lvlJc w:val="left"/>
      <w:pPr>
        <w:ind w:left="4780" w:hanging="440"/>
      </w:pPr>
    </w:lvl>
    <w:lvl w:ilvl="8" w:tentative="0">
      <w:start w:val="1"/>
      <w:numFmt w:val="lowerRoman"/>
      <w:lvlText w:val="%9."/>
      <w:lvlJc w:val="right"/>
      <w:pPr>
        <w:ind w:left="5220" w:hanging="440"/>
      </w:pPr>
    </w:lvl>
  </w:abstractNum>
  <w:abstractNum w:abstractNumId="1">
    <w:nsid w:val="28C957A9"/>
    <w:multiLevelType w:val="multilevel"/>
    <w:tmpl w:val="28C957A9"/>
    <w:lvl w:ilvl="0" w:tentative="0">
      <w:start w:val="1"/>
      <w:numFmt w:val="japaneseCounting"/>
      <w:lvlText w:val="%1、"/>
      <w:lvlJc w:val="left"/>
      <w:pPr>
        <w:ind w:left="900" w:hanging="9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90B5768"/>
    <w:multiLevelType w:val="multilevel"/>
    <w:tmpl w:val="290B5768"/>
    <w:lvl w:ilvl="0" w:tentative="0">
      <w:start w:val="1"/>
      <w:numFmt w:val="lowerRoman"/>
      <w:lvlText w:val="%1."/>
      <w:lvlJc w:val="right"/>
      <w:pPr>
        <w:ind w:left="1700" w:hanging="440"/>
      </w:pPr>
    </w:lvl>
    <w:lvl w:ilvl="1" w:tentative="0">
      <w:start w:val="1"/>
      <w:numFmt w:val="lowerLetter"/>
      <w:lvlText w:val="%2)"/>
      <w:lvlJc w:val="left"/>
      <w:pPr>
        <w:ind w:left="2140" w:hanging="440"/>
      </w:pPr>
    </w:lvl>
    <w:lvl w:ilvl="2" w:tentative="0">
      <w:start w:val="1"/>
      <w:numFmt w:val="lowerRoman"/>
      <w:lvlText w:val="%3."/>
      <w:lvlJc w:val="right"/>
      <w:pPr>
        <w:ind w:left="2580" w:hanging="440"/>
      </w:pPr>
    </w:lvl>
    <w:lvl w:ilvl="3" w:tentative="0">
      <w:start w:val="1"/>
      <w:numFmt w:val="decimal"/>
      <w:lvlText w:val="%4."/>
      <w:lvlJc w:val="left"/>
      <w:pPr>
        <w:ind w:left="3020" w:hanging="440"/>
      </w:pPr>
    </w:lvl>
    <w:lvl w:ilvl="4" w:tentative="0">
      <w:start w:val="1"/>
      <w:numFmt w:val="lowerLetter"/>
      <w:lvlText w:val="%5)"/>
      <w:lvlJc w:val="left"/>
      <w:pPr>
        <w:ind w:left="3460" w:hanging="440"/>
      </w:pPr>
    </w:lvl>
    <w:lvl w:ilvl="5" w:tentative="0">
      <w:start w:val="1"/>
      <w:numFmt w:val="lowerRoman"/>
      <w:lvlText w:val="%6."/>
      <w:lvlJc w:val="right"/>
      <w:pPr>
        <w:ind w:left="3900" w:hanging="440"/>
      </w:pPr>
    </w:lvl>
    <w:lvl w:ilvl="6" w:tentative="0">
      <w:start w:val="1"/>
      <w:numFmt w:val="decimal"/>
      <w:lvlText w:val="%7."/>
      <w:lvlJc w:val="left"/>
      <w:pPr>
        <w:ind w:left="4340" w:hanging="440"/>
      </w:pPr>
    </w:lvl>
    <w:lvl w:ilvl="7" w:tentative="0">
      <w:start w:val="1"/>
      <w:numFmt w:val="lowerLetter"/>
      <w:lvlText w:val="%8)"/>
      <w:lvlJc w:val="left"/>
      <w:pPr>
        <w:ind w:left="4780" w:hanging="440"/>
      </w:pPr>
    </w:lvl>
    <w:lvl w:ilvl="8" w:tentative="0">
      <w:start w:val="1"/>
      <w:numFmt w:val="lowerRoman"/>
      <w:lvlText w:val="%9."/>
      <w:lvlJc w:val="right"/>
      <w:pPr>
        <w:ind w:left="5220" w:hanging="440"/>
      </w:pPr>
    </w:lvl>
  </w:abstractNum>
  <w:abstractNum w:abstractNumId="3">
    <w:nsid w:val="65203FED"/>
    <w:multiLevelType w:val="multilevel"/>
    <w:tmpl w:val="65203FED"/>
    <w:lvl w:ilvl="0" w:tentative="0">
      <w:start w:val="1"/>
      <w:numFmt w:val="lowerRoman"/>
      <w:lvlText w:val="%1."/>
      <w:lvlJc w:val="right"/>
      <w:pPr>
        <w:ind w:left="1700" w:hanging="440"/>
      </w:pPr>
    </w:lvl>
    <w:lvl w:ilvl="1" w:tentative="0">
      <w:start w:val="1"/>
      <w:numFmt w:val="lowerLetter"/>
      <w:lvlText w:val="%2)"/>
      <w:lvlJc w:val="left"/>
      <w:pPr>
        <w:ind w:left="2140" w:hanging="440"/>
      </w:pPr>
    </w:lvl>
    <w:lvl w:ilvl="2" w:tentative="0">
      <w:start w:val="1"/>
      <w:numFmt w:val="lowerRoman"/>
      <w:lvlText w:val="%3."/>
      <w:lvlJc w:val="right"/>
      <w:pPr>
        <w:ind w:left="2580" w:hanging="440"/>
      </w:pPr>
    </w:lvl>
    <w:lvl w:ilvl="3" w:tentative="0">
      <w:start w:val="1"/>
      <w:numFmt w:val="decimal"/>
      <w:lvlText w:val="%4."/>
      <w:lvlJc w:val="left"/>
      <w:pPr>
        <w:ind w:left="3020" w:hanging="440"/>
      </w:pPr>
    </w:lvl>
    <w:lvl w:ilvl="4" w:tentative="0">
      <w:start w:val="1"/>
      <w:numFmt w:val="lowerLetter"/>
      <w:lvlText w:val="%5)"/>
      <w:lvlJc w:val="left"/>
      <w:pPr>
        <w:ind w:left="3460" w:hanging="440"/>
      </w:pPr>
    </w:lvl>
    <w:lvl w:ilvl="5" w:tentative="0">
      <w:start w:val="1"/>
      <w:numFmt w:val="lowerRoman"/>
      <w:lvlText w:val="%6."/>
      <w:lvlJc w:val="right"/>
      <w:pPr>
        <w:ind w:left="3900" w:hanging="440"/>
      </w:pPr>
    </w:lvl>
    <w:lvl w:ilvl="6" w:tentative="0">
      <w:start w:val="1"/>
      <w:numFmt w:val="decimal"/>
      <w:lvlText w:val="%7."/>
      <w:lvlJc w:val="left"/>
      <w:pPr>
        <w:ind w:left="4340" w:hanging="440"/>
      </w:pPr>
    </w:lvl>
    <w:lvl w:ilvl="7" w:tentative="0">
      <w:start w:val="1"/>
      <w:numFmt w:val="lowerLetter"/>
      <w:lvlText w:val="%8)"/>
      <w:lvlJc w:val="left"/>
      <w:pPr>
        <w:ind w:left="4780" w:hanging="440"/>
      </w:pPr>
    </w:lvl>
    <w:lvl w:ilvl="8" w:tentative="0">
      <w:start w:val="1"/>
      <w:numFmt w:val="lowerRoman"/>
      <w:lvlText w:val="%9."/>
      <w:lvlJc w:val="right"/>
      <w:pPr>
        <w:ind w:left="5220" w:hanging="44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3"/>
  <w:bordersDoNotSurroundHeader w:val="1"/>
  <w:bordersDoNotSurroundFooter w:val="1"/>
  <w:documentProtection w:enforcement="0"/>
  <w:defaultTabStop w:val="4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845"/>
    <w:rsid w:val="00002A18"/>
    <w:rsid w:val="00007546"/>
    <w:rsid w:val="000109A1"/>
    <w:rsid w:val="00022451"/>
    <w:rsid w:val="00022B3E"/>
    <w:rsid w:val="0005337E"/>
    <w:rsid w:val="000746C6"/>
    <w:rsid w:val="0008200F"/>
    <w:rsid w:val="00093394"/>
    <w:rsid w:val="000A4848"/>
    <w:rsid w:val="000B23A7"/>
    <w:rsid w:val="000B4E26"/>
    <w:rsid w:val="000D0C11"/>
    <w:rsid w:val="000D345B"/>
    <w:rsid w:val="0011025B"/>
    <w:rsid w:val="001118F8"/>
    <w:rsid w:val="00114B25"/>
    <w:rsid w:val="0011589D"/>
    <w:rsid w:val="00123B5D"/>
    <w:rsid w:val="0013253D"/>
    <w:rsid w:val="001335C2"/>
    <w:rsid w:val="001345AC"/>
    <w:rsid w:val="00142D2A"/>
    <w:rsid w:val="001479F6"/>
    <w:rsid w:val="001511F4"/>
    <w:rsid w:val="001562E0"/>
    <w:rsid w:val="00167B0A"/>
    <w:rsid w:val="001749CB"/>
    <w:rsid w:val="001A3F5F"/>
    <w:rsid w:val="001A5B9C"/>
    <w:rsid w:val="001B03EF"/>
    <w:rsid w:val="001C6ACD"/>
    <w:rsid w:val="001D0826"/>
    <w:rsid w:val="001D4DD6"/>
    <w:rsid w:val="001D6383"/>
    <w:rsid w:val="001E4F66"/>
    <w:rsid w:val="0023258B"/>
    <w:rsid w:val="00233994"/>
    <w:rsid w:val="00241A45"/>
    <w:rsid w:val="002479BD"/>
    <w:rsid w:val="00260138"/>
    <w:rsid w:val="00266160"/>
    <w:rsid w:val="00280CC2"/>
    <w:rsid w:val="00286680"/>
    <w:rsid w:val="002944AB"/>
    <w:rsid w:val="002A12D7"/>
    <w:rsid w:val="002A65E3"/>
    <w:rsid w:val="002D59F3"/>
    <w:rsid w:val="002D7B6F"/>
    <w:rsid w:val="002E7744"/>
    <w:rsid w:val="002F2D31"/>
    <w:rsid w:val="002F40F0"/>
    <w:rsid w:val="00311A11"/>
    <w:rsid w:val="003210E5"/>
    <w:rsid w:val="0032444D"/>
    <w:rsid w:val="00342777"/>
    <w:rsid w:val="003529F0"/>
    <w:rsid w:val="003530CE"/>
    <w:rsid w:val="0038380F"/>
    <w:rsid w:val="003A4FBA"/>
    <w:rsid w:val="003A607C"/>
    <w:rsid w:val="003C2DFB"/>
    <w:rsid w:val="003C4B8F"/>
    <w:rsid w:val="003D56CA"/>
    <w:rsid w:val="003D7E5B"/>
    <w:rsid w:val="00404B15"/>
    <w:rsid w:val="00411542"/>
    <w:rsid w:val="004521E0"/>
    <w:rsid w:val="004603C7"/>
    <w:rsid w:val="00491213"/>
    <w:rsid w:val="00491466"/>
    <w:rsid w:val="004923F6"/>
    <w:rsid w:val="004B2A87"/>
    <w:rsid w:val="004D4A38"/>
    <w:rsid w:val="004F243D"/>
    <w:rsid w:val="00513AA9"/>
    <w:rsid w:val="00537875"/>
    <w:rsid w:val="005400BC"/>
    <w:rsid w:val="0054351D"/>
    <w:rsid w:val="005510BC"/>
    <w:rsid w:val="00552A94"/>
    <w:rsid w:val="00552ED7"/>
    <w:rsid w:val="0056109B"/>
    <w:rsid w:val="005773CE"/>
    <w:rsid w:val="00596474"/>
    <w:rsid w:val="005A4A29"/>
    <w:rsid w:val="005A6B95"/>
    <w:rsid w:val="005B19DC"/>
    <w:rsid w:val="005B693D"/>
    <w:rsid w:val="005D4352"/>
    <w:rsid w:val="005D6483"/>
    <w:rsid w:val="005E0E65"/>
    <w:rsid w:val="005E5508"/>
    <w:rsid w:val="005E6A4A"/>
    <w:rsid w:val="00610785"/>
    <w:rsid w:val="00621F14"/>
    <w:rsid w:val="0063049E"/>
    <w:rsid w:val="00661421"/>
    <w:rsid w:val="006621D7"/>
    <w:rsid w:val="006809BB"/>
    <w:rsid w:val="0068575E"/>
    <w:rsid w:val="006B5B18"/>
    <w:rsid w:val="006D1E5B"/>
    <w:rsid w:val="006D2E03"/>
    <w:rsid w:val="00705B04"/>
    <w:rsid w:val="007327DB"/>
    <w:rsid w:val="00733637"/>
    <w:rsid w:val="00763203"/>
    <w:rsid w:val="00765A95"/>
    <w:rsid w:val="00776C0C"/>
    <w:rsid w:val="0078516E"/>
    <w:rsid w:val="00786DEB"/>
    <w:rsid w:val="007A20C3"/>
    <w:rsid w:val="007A2595"/>
    <w:rsid w:val="007A3045"/>
    <w:rsid w:val="007A3DCE"/>
    <w:rsid w:val="007A53D6"/>
    <w:rsid w:val="007A6D25"/>
    <w:rsid w:val="007C1110"/>
    <w:rsid w:val="007C129F"/>
    <w:rsid w:val="007C1F78"/>
    <w:rsid w:val="007D7397"/>
    <w:rsid w:val="007E2DF7"/>
    <w:rsid w:val="007E6881"/>
    <w:rsid w:val="007E6AE4"/>
    <w:rsid w:val="00800301"/>
    <w:rsid w:val="008045A0"/>
    <w:rsid w:val="0080675B"/>
    <w:rsid w:val="00807701"/>
    <w:rsid w:val="00814265"/>
    <w:rsid w:val="00820218"/>
    <w:rsid w:val="008303B4"/>
    <w:rsid w:val="00841A6D"/>
    <w:rsid w:val="00842829"/>
    <w:rsid w:val="0084530B"/>
    <w:rsid w:val="00846A73"/>
    <w:rsid w:val="00860663"/>
    <w:rsid w:val="0087217E"/>
    <w:rsid w:val="00874C2F"/>
    <w:rsid w:val="00892845"/>
    <w:rsid w:val="008954ED"/>
    <w:rsid w:val="008A48CD"/>
    <w:rsid w:val="008C09FD"/>
    <w:rsid w:val="008C123D"/>
    <w:rsid w:val="008C4F33"/>
    <w:rsid w:val="008E6661"/>
    <w:rsid w:val="008F16B2"/>
    <w:rsid w:val="009048B7"/>
    <w:rsid w:val="0090553E"/>
    <w:rsid w:val="009169DC"/>
    <w:rsid w:val="009439BD"/>
    <w:rsid w:val="00945B03"/>
    <w:rsid w:val="009535F8"/>
    <w:rsid w:val="0095555A"/>
    <w:rsid w:val="009656D2"/>
    <w:rsid w:val="009705E1"/>
    <w:rsid w:val="0097225C"/>
    <w:rsid w:val="009734D0"/>
    <w:rsid w:val="00976BCA"/>
    <w:rsid w:val="009856BC"/>
    <w:rsid w:val="00990748"/>
    <w:rsid w:val="009A2BD3"/>
    <w:rsid w:val="009B375D"/>
    <w:rsid w:val="009B5A20"/>
    <w:rsid w:val="009D4CD2"/>
    <w:rsid w:val="009F389D"/>
    <w:rsid w:val="00A04087"/>
    <w:rsid w:val="00A146C1"/>
    <w:rsid w:val="00A2748A"/>
    <w:rsid w:val="00A27A90"/>
    <w:rsid w:val="00A27AD3"/>
    <w:rsid w:val="00A4699B"/>
    <w:rsid w:val="00A5196D"/>
    <w:rsid w:val="00A65D90"/>
    <w:rsid w:val="00A73FA4"/>
    <w:rsid w:val="00A76B31"/>
    <w:rsid w:val="00AE09E8"/>
    <w:rsid w:val="00AE11E0"/>
    <w:rsid w:val="00B1292A"/>
    <w:rsid w:val="00B203BC"/>
    <w:rsid w:val="00B32C8D"/>
    <w:rsid w:val="00B379EC"/>
    <w:rsid w:val="00B61F4C"/>
    <w:rsid w:val="00B668CC"/>
    <w:rsid w:val="00B835FC"/>
    <w:rsid w:val="00B93CF6"/>
    <w:rsid w:val="00BB727F"/>
    <w:rsid w:val="00BD1907"/>
    <w:rsid w:val="00BE62B7"/>
    <w:rsid w:val="00BF317B"/>
    <w:rsid w:val="00BF396A"/>
    <w:rsid w:val="00BF52BA"/>
    <w:rsid w:val="00BF67BD"/>
    <w:rsid w:val="00C0796B"/>
    <w:rsid w:val="00C1365A"/>
    <w:rsid w:val="00C162A6"/>
    <w:rsid w:val="00C245C9"/>
    <w:rsid w:val="00C350C7"/>
    <w:rsid w:val="00C35416"/>
    <w:rsid w:val="00C51059"/>
    <w:rsid w:val="00C54BA2"/>
    <w:rsid w:val="00C75369"/>
    <w:rsid w:val="00C77957"/>
    <w:rsid w:val="00CA2998"/>
    <w:rsid w:val="00CA5096"/>
    <w:rsid w:val="00CA6E7F"/>
    <w:rsid w:val="00CB3DC2"/>
    <w:rsid w:val="00CC7734"/>
    <w:rsid w:val="00D0272A"/>
    <w:rsid w:val="00D04169"/>
    <w:rsid w:val="00D23602"/>
    <w:rsid w:val="00D2752D"/>
    <w:rsid w:val="00D52E92"/>
    <w:rsid w:val="00D60A9E"/>
    <w:rsid w:val="00D83513"/>
    <w:rsid w:val="00D90E30"/>
    <w:rsid w:val="00DB55F7"/>
    <w:rsid w:val="00DB7620"/>
    <w:rsid w:val="00DD1A93"/>
    <w:rsid w:val="00DF24C1"/>
    <w:rsid w:val="00E12DC6"/>
    <w:rsid w:val="00E14479"/>
    <w:rsid w:val="00E43727"/>
    <w:rsid w:val="00E50BFA"/>
    <w:rsid w:val="00E60885"/>
    <w:rsid w:val="00E74D01"/>
    <w:rsid w:val="00E805EA"/>
    <w:rsid w:val="00E90542"/>
    <w:rsid w:val="00E909AE"/>
    <w:rsid w:val="00EA36BD"/>
    <w:rsid w:val="00EA438E"/>
    <w:rsid w:val="00EB3970"/>
    <w:rsid w:val="00EB6452"/>
    <w:rsid w:val="00EB70F3"/>
    <w:rsid w:val="00EB72C8"/>
    <w:rsid w:val="00EB7A43"/>
    <w:rsid w:val="00EC61FE"/>
    <w:rsid w:val="00EF2906"/>
    <w:rsid w:val="00EF33D0"/>
    <w:rsid w:val="00EF3DD9"/>
    <w:rsid w:val="00EF56E7"/>
    <w:rsid w:val="00EF600F"/>
    <w:rsid w:val="00F01395"/>
    <w:rsid w:val="00F062D7"/>
    <w:rsid w:val="00F25EE3"/>
    <w:rsid w:val="00F6014B"/>
    <w:rsid w:val="00F610F5"/>
    <w:rsid w:val="00F7471E"/>
    <w:rsid w:val="00F81501"/>
    <w:rsid w:val="00F84F98"/>
    <w:rsid w:val="00FA344C"/>
    <w:rsid w:val="00FB180E"/>
    <w:rsid w:val="00FD756B"/>
    <w:rsid w:val="00FE56E8"/>
    <w:rsid w:val="00FF6922"/>
    <w:rsid w:val="1EBB67A3"/>
    <w:rsid w:val="2A732AA8"/>
    <w:rsid w:val="2B776AFA"/>
    <w:rsid w:val="31BC0B24"/>
    <w:rsid w:val="3C277440"/>
    <w:rsid w:val="401D5D3B"/>
    <w:rsid w:val="475E0D16"/>
    <w:rsid w:val="4AD6055E"/>
    <w:rsid w:val="4C5342AE"/>
    <w:rsid w:val="4DC006DE"/>
    <w:rsid w:val="5DAF0841"/>
    <w:rsid w:val="62E705A0"/>
    <w:rsid w:val="6F985025"/>
    <w:rsid w:val="7AF573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paragraph" w:styleId="7">
    <w:name w:val="footnote text"/>
    <w:basedOn w:val="1"/>
    <w:link w:val="20"/>
    <w:semiHidden/>
    <w:unhideWhenUsed/>
    <w:uiPriority w:val="99"/>
    <w:pPr>
      <w:snapToGrid w:val="0"/>
      <w:jc w:val="left"/>
    </w:pPr>
    <w:rPr>
      <w:sz w:val="18"/>
      <w:szCs w:val="18"/>
    </w:rPr>
  </w:style>
  <w:style w:type="paragraph" w:styleId="8">
    <w:name w:val="Normal (Web)"/>
    <w:basedOn w:val="1"/>
    <w:semiHidden/>
    <w:unhideWhenUsed/>
    <w:uiPriority w:val="99"/>
    <w:pPr>
      <w:widowControl/>
      <w:spacing w:before="100" w:beforeAutospacing="1" w:after="100" w:afterAutospacing="1" w:line="240" w:lineRule="auto"/>
      <w:ind w:firstLine="0" w:firstLineChars="0"/>
      <w:jc w:val="left"/>
    </w:pPr>
    <w:rPr>
      <w:rFonts w:ascii="宋体" w:hAnsi="宋体" w:cs="宋体"/>
      <w:kern w:val="0"/>
      <w:sz w:val="24"/>
    </w:rPr>
  </w:style>
  <w:style w:type="table" w:styleId="10">
    <w:name w:val="Table Grid"/>
    <w:basedOn w:val="9"/>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styleId="13">
    <w:name w:val="annotation reference"/>
    <w:basedOn w:val="11"/>
    <w:semiHidden/>
    <w:unhideWhenUsed/>
    <w:qFormat/>
    <w:uiPriority w:val="99"/>
    <w:rPr>
      <w:sz w:val="21"/>
      <w:szCs w:val="21"/>
    </w:rPr>
  </w:style>
  <w:style w:type="character" w:customStyle="1" w:styleId="14">
    <w:name w:val="页眉 字符"/>
    <w:basedOn w:val="11"/>
    <w:link w:val="5"/>
    <w:qFormat/>
    <w:uiPriority w:val="99"/>
    <w:rPr>
      <w:sz w:val="18"/>
      <w:szCs w:val="18"/>
    </w:rPr>
  </w:style>
  <w:style w:type="character" w:customStyle="1" w:styleId="15">
    <w:name w:val="页脚 字符"/>
    <w:basedOn w:val="11"/>
    <w:link w:val="4"/>
    <w:qFormat/>
    <w:uiPriority w:val="99"/>
    <w:rPr>
      <w:sz w:val="18"/>
      <w:szCs w:val="18"/>
    </w:rPr>
  </w:style>
  <w:style w:type="paragraph" w:customStyle="1" w:styleId="1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7">
    <w:name w:val="标题 1 字符"/>
    <w:basedOn w:val="11"/>
    <w:link w:val="2"/>
    <w:uiPriority w:val="9"/>
    <w:rPr>
      <w:rFonts w:ascii="Times New Roman" w:hAnsi="Times New Roman" w:eastAsia="宋体" w:cs="Times New Roman"/>
      <w:b/>
      <w:bCs/>
      <w:kern w:val="44"/>
      <w:sz w:val="44"/>
      <w:szCs w:val="44"/>
    </w:rPr>
  </w:style>
  <w:style w:type="paragraph" w:customStyle="1" w:styleId="18">
    <w:name w:val="TOC 标题1"/>
    <w:basedOn w:val="2"/>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19">
    <w:name w:val="List Paragraph"/>
    <w:basedOn w:val="1"/>
    <w:qFormat/>
    <w:uiPriority w:val="34"/>
    <w:pPr>
      <w:ind w:firstLine="420"/>
    </w:pPr>
  </w:style>
  <w:style w:type="character" w:customStyle="1" w:styleId="20">
    <w:name w:val="脚注文本 字符"/>
    <w:basedOn w:val="11"/>
    <w:link w:val="7"/>
    <w:semiHidden/>
    <w:qFormat/>
    <w:uiPriority w:val="99"/>
    <w:rPr>
      <w:rFonts w:ascii="Times New Roman" w:hAnsi="Times New Roman" w:eastAsia="宋体" w:cs="Times New Roman"/>
      <w:sz w:val="18"/>
      <w:szCs w:val="18"/>
    </w:rPr>
  </w:style>
  <w:style w:type="paragraph" w:customStyle="1" w:styleId="21">
    <w:name w:val="Revision"/>
    <w:hidden/>
    <w:unhideWhenUsed/>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numbering" Target="numbering.xml"/><Relationship Id="rId45" Type="http://schemas.openxmlformats.org/officeDocument/2006/relationships/image" Target="media/image17.emf"/><Relationship Id="rId44" Type="http://schemas.openxmlformats.org/officeDocument/2006/relationships/oleObject" Target="embeddings/oleObject13.bin"/><Relationship Id="rId43" Type="http://schemas.openxmlformats.org/officeDocument/2006/relationships/image" Target="media/image16.emf"/><Relationship Id="rId42" Type="http://schemas.openxmlformats.org/officeDocument/2006/relationships/oleObject" Target="embeddings/oleObject12.bin"/><Relationship Id="rId41" Type="http://schemas.openxmlformats.org/officeDocument/2006/relationships/image" Target="media/image15.emf"/><Relationship Id="rId40" Type="http://schemas.openxmlformats.org/officeDocument/2006/relationships/oleObject" Target="embeddings/oleObject11.bin"/><Relationship Id="rId4" Type="http://schemas.openxmlformats.org/officeDocument/2006/relationships/endnotes" Target="endnotes.xml"/><Relationship Id="rId39" Type="http://schemas.openxmlformats.org/officeDocument/2006/relationships/image" Target="media/image14.emf"/><Relationship Id="rId38" Type="http://schemas.openxmlformats.org/officeDocument/2006/relationships/oleObject" Target="embeddings/oleObject10.bin"/><Relationship Id="rId37" Type="http://schemas.openxmlformats.org/officeDocument/2006/relationships/image" Target="media/image13.emf"/><Relationship Id="rId36" Type="http://schemas.openxmlformats.org/officeDocument/2006/relationships/oleObject" Target="embeddings/oleObject9.bin"/><Relationship Id="rId35" Type="http://schemas.openxmlformats.org/officeDocument/2006/relationships/image" Target="media/image12.emf"/><Relationship Id="rId34" Type="http://schemas.openxmlformats.org/officeDocument/2006/relationships/oleObject" Target="embeddings/oleObject8.bin"/><Relationship Id="rId33" Type="http://schemas.openxmlformats.org/officeDocument/2006/relationships/image" Target="media/image11.emf"/><Relationship Id="rId32" Type="http://schemas.openxmlformats.org/officeDocument/2006/relationships/oleObject" Target="embeddings/oleObject7.bin"/><Relationship Id="rId31" Type="http://schemas.openxmlformats.org/officeDocument/2006/relationships/image" Target="media/image10.emf"/><Relationship Id="rId30" Type="http://schemas.openxmlformats.org/officeDocument/2006/relationships/oleObject" Target="embeddings/oleObject6.bin"/><Relationship Id="rId3" Type="http://schemas.openxmlformats.org/officeDocument/2006/relationships/footnotes" Target="footnotes.xml"/><Relationship Id="rId29" Type="http://schemas.openxmlformats.org/officeDocument/2006/relationships/image" Target="media/image9.emf"/><Relationship Id="rId28" Type="http://schemas.openxmlformats.org/officeDocument/2006/relationships/oleObject" Target="embeddings/oleObject5.bin"/><Relationship Id="rId27" Type="http://schemas.openxmlformats.org/officeDocument/2006/relationships/image" Target="media/image8.emf"/><Relationship Id="rId26" Type="http://schemas.openxmlformats.org/officeDocument/2006/relationships/oleObject" Target="embeddings/oleObject4.bin"/><Relationship Id="rId25" Type="http://schemas.openxmlformats.org/officeDocument/2006/relationships/image" Target="media/image7.emf"/><Relationship Id="rId24" Type="http://schemas.openxmlformats.org/officeDocument/2006/relationships/oleObject" Target="embeddings/oleObject3.bin"/><Relationship Id="rId23" Type="http://schemas.openxmlformats.org/officeDocument/2006/relationships/image" Target="media/image6.emf"/><Relationship Id="rId22" Type="http://schemas.openxmlformats.org/officeDocument/2006/relationships/oleObject" Target="embeddings/oleObject2.bin"/><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619EF-BF13-446F-96C6-7778512F1934}">
  <ds:schemaRefs/>
</ds:datastoreItem>
</file>

<file path=docProps/app.xml><?xml version="1.0" encoding="utf-8"?>
<Properties xmlns="http://schemas.openxmlformats.org/officeDocument/2006/extended-properties" xmlns:vt="http://schemas.openxmlformats.org/officeDocument/2006/docPropsVTypes">
  <Template>Normal.dotm</Template>
  <Pages>23</Pages>
  <Words>2555</Words>
  <Characters>14565</Characters>
  <Lines>121</Lines>
  <Paragraphs>34</Paragraphs>
  <TotalTime>1</TotalTime>
  <ScaleCrop>false</ScaleCrop>
  <LinksUpToDate>false</LinksUpToDate>
  <CharactersWithSpaces>17086</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2021-02-22T05:52:00Z</dcterms:created>
  <dc:creator>李云伟</dc:creator>
  <cp:lastModifiedBy>李云伟</cp:lastModifiedBy>
  <dcterms:modified xsi:type="dcterms:W3CDTF">2024-08-02T02:50:55Z</dcterms:modified>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EF5F29515C32499F99EC13EC98C4F259</vt:lpwstr>
  </property>
</Properties>
</file>