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pacing w:before="240" w:beforeAutospacing="0" w:after="240" w:afterAutospacing="0" w:line="360" w:lineRule="atLeast"/>
        <w:ind w:right="320"/>
        <w:rPr>
          <w:rFonts w:ascii="黑体" w:hAnsi="黑体" w:eastAsia="黑体" w:cs="黑体"/>
          <w:color w:val="070707"/>
          <w:sz w:val="32"/>
          <w:szCs w:val="32"/>
        </w:rPr>
      </w:pPr>
      <w:bookmarkStart w:id="0" w:name="_GoBack"/>
      <w:bookmarkEnd w:id="0"/>
      <w:r>
        <w:rPr>
          <w:rFonts w:hint="eastAsia" w:ascii="黑体" w:hAnsi="黑体" w:eastAsia="黑体" w:cs="黑体"/>
          <w:color w:val="070707"/>
          <w:sz w:val="32"/>
          <w:szCs w:val="32"/>
        </w:rPr>
        <w:t>附件：</w:t>
      </w:r>
    </w:p>
    <w:p>
      <w:pPr>
        <w:pStyle w:val="2"/>
        <w:spacing w:before="240" w:beforeAutospacing="0" w:after="240" w:afterAutospacing="0" w:line="360" w:lineRule="atLeast"/>
        <w:ind w:right="320"/>
        <w:jc w:val="center"/>
        <w:rPr>
          <w:rFonts w:ascii="黑体" w:hAnsi="黑体" w:eastAsia="黑体" w:cs="黑体"/>
          <w:color w:val="070707"/>
          <w:sz w:val="32"/>
          <w:szCs w:val="32"/>
        </w:rPr>
      </w:pPr>
      <w:r>
        <w:rPr>
          <w:rFonts w:hint="eastAsia" w:ascii="黑体" w:hAnsi="黑体" w:eastAsia="黑体" w:cs="黑体"/>
          <w:color w:val="070707"/>
          <w:sz w:val="32"/>
          <w:szCs w:val="32"/>
        </w:rPr>
        <w:t>移动物联网发展指数模型</w:t>
      </w:r>
    </w:p>
    <w:tbl>
      <w:tblPr>
        <w:tblStyle w:val="4"/>
        <w:tblW w:w="98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59"/>
        <w:gridCol w:w="3686"/>
        <w:gridCol w:w="3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704" w:type="dxa"/>
            <w:vAlign w:val="top"/>
          </w:tcPr>
          <w:p>
            <w:pPr>
              <w:spacing w:line="360" w:lineRule="auto"/>
              <w:jc w:val="center"/>
              <w:rPr>
                <w:rFonts w:ascii="仿宋_GB2312" w:hAnsi="宋体" w:eastAsia="仿宋_GB2312" w:cs="Times New Roman"/>
                <w:color w:val="000000"/>
                <w:kern w:val="0"/>
                <w:sz w:val="24"/>
                <w:szCs w:val="24"/>
              </w:rPr>
            </w:pPr>
            <w:r>
              <w:rPr>
                <w:rFonts w:hint="eastAsia" w:ascii="仿宋_GB2312" w:hAnsi="宋体" w:eastAsia="仿宋_GB2312" w:cs="Times New Roman"/>
                <w:b/>
                <w:bCs/>
                <w:color w:val="000000"/>
                <w:kern w:val="0"/>
                <w:sz w:val="24"/>
                <w:szCs w:val="24"/>
              </w:rPr>
              <w:t>序号</w:t>
            </w:r>
          </w:p>
        </w:tc>
        <w:tc>
          <w:tcPr>
            <w:tcW w:w="1559" w:type="dxa"/>
            <w:vAlign w:val="top"/>
          </w:tcPr>
          <w:p>
            <w:pPr>
              <w:spacing w:line="360" w:lineRule="auto"/>
              <w:jc w:val="center"/>
              <w:rPr>
                <w:rFonts w:ascii="仿宋_GB2312" w:hAnsi="宋体" w:eastAsia="仿宋_GB2312" w:cs="Times New Roman"/>
                <w:color w:val="000000"/>
                <w:kern w:val="0"/>
                <w:sz w:val="24"/>
                <w:szCs w:val="24"/>
              </w:rPr>
            </w:pPr>
            <w:r>
              <w:rPr>
                <w:rFonts w:hint="eastAsia" w:ascii="仿宋_GB2312" w:hAnsi="宋体" w:eastAsia="仿宋_GB2312" w:cs="Times New Roman"/>
                <w:b/>
                <w:bCs/>
                <w:color w:val="000000"/>
                <w:kern w:val="0"/>
                <w:sz w:val="24"/>
                <w:szCs w:val="24"/>
              </w:rPr>
              <w:t>指标维度</w:t>
            </w:r>
          </w:p>
        </w:tc>
        <w:tc>
          <w:tcPr>
            <w:tcW w:w="3686" w:type="dxa"/>
            <w:vAlign w:val="top"/>
          </w:tcPr>
          <w:p>
            <w:pPr>
              <w:spacing w:line="360" w:lineRule="auto"/>
              <w:jc w:val="center"/>
              <w:rPr>
                <w:rFonts w:ascii="仿宋_GB2312" w:hAnsi="宋体" w:eastAsia="仿宋_GB2312" w:cs="Times New Roman"/>
                <w:color w:val="000000"/>
                <w:kern w:val="0"/>
                <w:sz w:val="24"/>
                <w:szCs w:val="24"/>
              </w:rPr>
            </w:pPr>
            <w:r>
              <w:rPr>
                <w:rFonts w:hint="eastAsia" w:ascii="仿宋_GB2312" w:hAnsi="宋体" w:eastAsia="仿宋_GB2312" w:cs="Times New Roman"/>
                <w:b/>
                <w:bCs/>
                <w:color w:val="000000"/>
                <w:kern w:val="0"/>
                <w:sz w:val="24"/>
                <w:szCs w:val="24"/>
              </w:rPr>
              <w:t>二级指标项</w:t>
            </w:r>
          </w:p>
        </w:tc>
        <w:tc>
          <w:tcPr>
            <w:tcW w:w="3912" w:type="dxa"/>
            <w:vAlign w:val="center"/>
          </w:tcPr>
          <w:p>
            <w:pPr>
              <w:spacing w:line="360" w:lineRule="auto"/>
              <w:jc w:val="center"/>
              <w:rPr>
                <w:rFonts w:ascii="仿宋_GB2312" w:hAnsi="宋体" w:eastAsia="仿宋_GB2312" w:cs="Times New Roman"/>
                <w:b/>
                <w:bCs/>
                <w:color w:val="000000"/>
                <w:kern w:val="0"/>
                <w:sz w:val="24"/>
                <w:szCs w:val="24"/>
              </w:rPr>
            </w:pPr>
            <w:r>
              <w:rPr>
                <w:rFonts w:hint="eastAsia" w:ascii="仿宋_GB2312" w:hAnsi="宋体" w:eastAsia="仿宋_GB2312" w:cs="Times New Roman"/>
                <w:b/>
                <w:bCs/>
                <w:color w:val="000000"/>
                <w:kern w:val="0"/>
                <w:sz w:val="24"/>
                <w:szCs w:val="24"/>
              </w:rPr>
              <w: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704" w:type="dxa"/>
            <w:vAlign w:val="top"/>
          </w:tcPr>
          <w:p>
            <w:pPr>
              <w:spacing w:before="240" w:line="360" w:lineRule="auto"/>
              <w:rPr>
                <w:rFonts w:ascii="仿宋_GB2312" w:hAnsi="宋体" w:eastAsia="仿宋_GB2312" w:cs="Times New Roman"/>
                <w:color w:val="000000"/>
                <w:kern w:val="0"/>
                <w:sz w:val="24"/>
                <w:szCs w:val="24"/>
              </w:rPr>
            </w:pPr>
            <w:r>
              <w:rPr>
                <w:rFonts w:hint="eastAsia" w:ascii="仿宋_GB2312" w:hAnsi="宋体" w:eastAsia="仿宋_GB2312" w:cs="Times New Roman"/>
                <w:b/>
                <w:bCs/>
                <w:color w:val="000000"/>
                <w:kern w:val="0"/>
                <w:sz w:val="24"/>
                <w:szCs w:val="24"/>
              </w:rPr>
              <w:t>1</w:t>
            </w:r>
          </w:p>
        </w:tc>
        <w:tc>
          <w:tcPr>
            <w:tcW w:w="1559" w:type="dxa"/>
            <w:vMerge w:val="restart"/>
            <w:vAlign w:val="top"/>
          </w:tcPr>
          <w:p>
            <w:pPr>
              <w:spacing w:before="156" w:beforeLines="50" w:after="156" w:afterLines="50"/>
              <w:jc w:val="center"/>
              <w:rPr>
                <w:rFonts w:ascii="仿宋_GB2312" w:hAnsi="宋体" w:eastAsia="仿宋_GB2312" w:cs="Times New Roman"/>
                <w:color w:val="000000"/>
                <w:kern w:val="0"/>
                <w:sz w:val="24"/>
                <w:szCs w:val="24"/>
              </w:rPr>
            </w:pPr>
            <w:r>
              <w:rPr>
                <w:rFonts w:hint="eastAsia" w:ascii="仿宋_GB2312" w:hAnsi="宋体" w:eastAsia="仿宋_GB2312" w:cs="Times New Roman"/>
                <w:b/>
                <w:bCs/>
                <w:color w:val="000000"/>
                <w:kern w:val="0"/>
                <w:sz w:val="24"/>
                <w:szCs w:val="24"/>
              </w:rPr>
              <w:t>政策支持</w:t>
            </w:r>
          </w:p>
        </w:tc>
        <w:tc>
          <w:tcPr>
            <w:tcW w:w="3686"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移动物联网产业发展战略、规划、政策数量</w:t>
            </w:r>
          </w:p>
        </w:tc>
        <w:tc>
          <w:tcPr>
            <w:tcW w:w="3912"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省级政府</w:t>
            </w:r>
            <w:r>
              <w:rPr>
                <w:rFonts w:hint="default" w:ascii="仿宋_GB2312" w:hAnsi="宋体" w:eastAsia="仿宋_GB2312" w:cs="Times New Roman"/>
                <w:color w:val="000000"/>
                <w:kern w:val="0"/>
                <w:sz w:val="24"/>
                <w:szCs w:val="24"/>
              </w:rPr>
              <w:t>部门</w:t>
            </w:r>
            <w:r>
              <w:rPr>
                <w:rFonts w:hint="eastAsia" w:ascii="仿宋_GB2312" w:hAnsi="宋体" w:eastAsia="仿宋_GB2312" w:cs="Times New Roman"/>
                <w:color w:val="000000"/>
                <w:kern w:val="0"/>
                <w:sz w:val="24"/>
                <w:szCs w:val="24"/>
              </w:rPr>
              <w:t>出台的关于移动物联网产业发展战略、发展规划和发展政策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704" w:type="dxa"/>
            <w:vAlign w:val="top"/>
          </w:tcPr>
          <w:p>
            <w:pPr>
              <w:spacing w:before="240" w:line="360" w:lineRule="auto"/>
              <w:rPr>
                <w:rFonts w:ascii="仿宋_GB2312" w:hAnsi="宋体" w:eastAsia="仿宋_GB2312" w:cs="Times New Roman"/>
                <w:color w:val="000000"/>
                <w:kern w:val="0"/>
                <w:sz w:val="24"/>
                <w:szCs w:val="24"/>
              </w:rPr>
            </w:pPr>
            <w:r>
              <w:rPr>
                <w:rFonts w:hint="eastAsia" w:ascii="仿宋_GB2312" w:hAnsi="宋体" w:eastAsia="仿宋_GB2312" w:cs="Times New Roman"/>
                <w:b/>
                <w:bCs/>
                <w:color w:val="000000"/>
                <w:kern w:val="0"/>
                <w:sz w:val="24"/>
                <w:szCs w:val="24"/>
              </w:rPr>
              <w:t>2</w:t>
            </w:r>
          </w:p>
        </w:tc>
        <w:tc>
          <w:tcPr>
            <w:tcW w:w="1559" w:type="dxa"/>
            <w:vMerge w:val="continue"/>
            <w:vAlign w:val="top"/>
          </w:tcPr>
          <w:p>
            <w:pPr>
              <w:spacing w:before="156" w:beforeLines="50" w:after="156" w:afterLines="50"/>
              <w:jc w:val="center"/>
              <w:rPr>
                <w:rFonts w:ascii="仿宋_GB2312" w:hAnsi="宋体" w:eastAsia="仿宋_GB2312" w:cs="Times New Roman"/>
                <w:color w:val="000000"/>
                <w:kern w:val="0"/>
                <w:sz w:val="24"/>
                <w:szCs w:val="24"/>
              </w:rPr>
            </w:pPr>
          </w:p>
        </w:tc>
        <w:tc>
          <w:tcPr>
            <w:tcW w:w="3686"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政府对移动物联网产业投入资金数量</w:t>
            </w:r>
          </w:p>
        </w:tc>
        <w:tc>
          <w:tcPr>
            <w:tcW w:w="3912"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政府对移动物联网的直接扶持资金（含减税等）与各省GDP的比值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04" w:type="dxa"/>
            <w:vAlign w:val="top"/>
          </w:tcPr>
          <w:p>
            <w:pPr>
              <w:spacing w:before="240" w:line="360" w:lineRule="auto"/>
              <w:rPr>
                <w:rFonts w:ascii="仿宋_GB2312" w:hAnsi="宋体" w:eastAsia="仿宋_GB2312" w:cs="Times New Roman"/>
                <w:color w:val="000000"/>
                <w:kern w:val="0"/>
                <w:sz w:val="24"/>
                <w:szCs w:val="24"/>
              </w:rPr>
            </w:pPr>
            <w:r>
              <w:rPr>
                <w:rFonts w:hint="eastAsia" w:ascii="仿宋_GB2312" w:hAnsi="宋体" w:eastAsia="仿宋_GB2312" w:cs="Times New Roman"/>
                <w:b/>
                <w:bCs/>
                <w:color w:val="000000"/>
                <w:kern w:val="0"/>
                <w:sz w:val="24"/>
                <w:szCs w:val="24"/>
              </w:rPr>
              <w:t>3</w:t>
            </w:r>
          </w:p>
        </w:tc>
        <w:tc>
          <w:tcPr>
            <w:tcW w:w="1559" w:type="dxa"/>
            <w:vMerge w:val="continue"/>
            <w:vAlign w:val="top"/>
          </w:tcPr>
          <w:p>
            <w:pPr>
              <w:spacing w:before="156" w:beforeLines="50" w:after="156" w:afterLines="50"/>
              <w:jc w:val="center"/>
              <w:rPr>
                <w:rFonts w:ascii="仿宋_GB2312" w:hAnsi="宋体" w:eastAsia="仿宋_GB2312" w:cs="Times New Roman"/>
                <w:color w:val="000000"/>
                <w:kern w:val="0"/>
                <w:sz w:val="24"/>
                <w:szCs w:val="24"/>
              </w:rPr>
            </w:pPr>
          </w:p>
        </w:tc>
        <w:tc>
          <w:tcPr>
            <w:tcW w:w="3686"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移动物联网应用示范工程数量</w:t>
            </w:r>
          </w:p>
        </w:tc>
        <w:tc>
          <w:tcPr>
            <w:tcW w:w="3912"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通过省级以上政府认定的示范工程数量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704" w:type="dxa"/>
            <w:vAlign w:val="top"/>
          </w:tcPr>
          <w:p>
            <w:pPr>
              <w:spacing w:before="240" w:line="360" w:lineRule="auto"/>
              <w:rPr>
                <w:rFonts w:ascii="仿宋_GB2312" w:hAnsi="宋体" w:eastAsia="仿宋_GB2312" w:cs="Times New Roman"/>
                <w:color w:val="000000"/>
                <w:kern w:val="0"/>
                <w:sz w:val="24"/>
                <w:szCs w:val="24"/>
              </w:rPr>
            </w:pPr>
            <w:r>
              <w:rPr>
                <w:rFonts w:hint="eastAsia" w:ascii="仿宋_GB2312" w:hAnsi="宋体" w:eastAsia="仿宋_GB2312" w:cs="Times New Roman"/>
                <w:b/>
                <w:bCs/>
                <w:color w:val="000000"/>
                <w:kern w:val="0"/>
                <w:sz w:val="24"/>
                <w:szCs w:val="24"/>
              </w:rPr>
              <w:t>4</w:t>
            </w:r>
          </w:p>
        </w:tc>
        <w:tc>
          <w:tcPr>
            <w:tcW w:w="1559" w:type="dxa"/>
            <w:vMerge w:val="restart"/>
            <w:vAlign w:val="top"/>
          </w:tcPr>
          <w:p>
            <w:pPr>
              <w:spacing w:before="156" w:beforeLines="50" w:after="156" w:afterLines="50"/>
              <w:jc w:val="center"/>
              <w:rPr>
                <w:rFonts w:ascii="仿宋_GB2312" w:hAnsi="宋体" w:eastAsia="仿宋_GB2312" w:cs="Times New Roman"/>
                <w:color w:val="000000"/>
                <w:kern w:val="0"/>
                <w:sz w:val="24"/>
                <w:szCs w:val="24"/>
              </w:rPr>
            </w:pPr>
            <w:r>
              <w:rPr>
                <w:rFonts w:hint="eastAsia" w:ascii="仿宋_GB2312" w:hAnsi="宋体" w:eastAsia="仿宋_GB2312" w:cs="Times New Roman"/>
                <w:b/>
                <w:bCs/>
                <w:color w:val="000000"/>
                <w:kern w:val="0"/>
                <w:sz w:val="24"/>
                <w:szCs w:val="24"/>
              </w:rPr>
              <w:t>网络和应用</w:t>
            </w:r>
          </w:p>
        </w:tc>
        <w:tc>
          <w:tcPr>
            <w:tcW w:w="3686"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移动物联网基站覆盖率</w:t>
            </w:r>
          </w:p>
        </w:tc>
        <w:tc>
          <w:tcPr>
            <w:tcW w:w="3912"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NB</w:t>
            </w:r>
            <w:r>
              <w:rPr>
                <w:rFonts w:hint="default" w:ascii="仿宋_GB2312" w:hAnsi="宋体" w:eastAsia="仿宋_GB2312" w:cs="Times New Roman"/>
                <w:color w:val="000000"/>
                <w:kern w:val="0"/>
                <w:sz w:val="24"/>
                <w:szCs w:val="24"/>
              </w:rPr>
              <w:t>-IoT</w:t>
            </w:r>
            <w:r>
              <w:rPr>
                <w:rFonts w:hint="eastAsia" w:ascii="仿宋_GB2312" w:hAnsi="宋体" w:eastAsia="仿宋_GB2312" w:cs="Times New Roman"/>
                <w:color w:val="000000"/>
                <w:kern w:val="0"/>
                <w:sz w:val="24"/>
                <w:szCs w:val="24"/>
              </w:rPr>
              <w:t>基站数量/</w:t>
            </w:r>
            <w:r>
              <w:rPr>
                <w:rFonts w:hint="eastAsia" w:ascii="仿宋_GB2312" w:hAnsi="宋体" w:cs="Times New Roman"/>
                <w:color w:val="000000"/>
                <w:kern w:val="0"/>
                <w:sz w:val="24"/>
                <w:szCs w:val="24"/>
                <w:lang w:val="en-US" w:eastAsia="zh-CN"/>
              </w:rPr>
              <w:t>4G</w:t>
            </w:r>
            <w:r>
              <w:rPr>
                <w:rFonts w:hint="eastAsia" w:ascii="仿宋_GB2312" w:hAnsi="宋体" w:eastAsia="仿宋_GB2312" w:cs="Times New Roman"/>
                <w:color w:val="000000"/>
                <w:kern w:val="0"/>
                <w:sz w:val="24"/>
                <w:szCs w:val="24"/>
              </w:rPr>
              <w:t>基站数量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04" w:type="dxa"/>
            <w:vAlign w:val="top"/>
          </w:tcPr>
          <w:p>
            <w:pPr>
              <w:spacing w:before="240" w:line="360" w:lineRule="auto"/>
              <w:rPr>
                <w:rFonts w:ascii="仿宋_GB2312" w:hAnsi="宋体" w:eastAsia="仿宋_GB2312" w:cs="Times New Roman"/>
                <w:color w:val="000000"/>
                <w:kern w:val="0"/>
                <w:sz w:val="24"/>
                <w:szCs w:val="24"/>
              </w:rPr>
            </w:pPr>
            <w:r>
              <w:rPr>
                <w:rFonts w:hint="eastAsia" w:ascii="仿宋_GB2312" w:hAnsi="宋体" w:eastAsia="仿宋_GB2312" w:cs="Times New Roman"/>
                <w:b/>
                <w:bCs/>
                <w:color w:val="000000"/>
                <w:kern w:val="0"/>
                <w:sz w:val="24"/>
                <w:szCs w:val="24"/>
              </w:rPr>
              <w:t>5</w:t>
            </w:r>
          </w:p>
        </w:tc>
        <w:tc>
          <w:tcPr>
            <w:tcW w:w="1559" w:type="dxa"/>
            <w:vMerge w:val="continue"/>
            <w:vAlign w:val="top"/>
          </w:tcPr>
          <w:p>
            <w:pPr>
              <w:spacing w:before="156" w:beforeLines="50" w:after="156" w:afterLines="50"/>
              <w:jc w:val="center"/>
              <w:rPr>
                <w:rFonts w:ascii="仿宋_GB2312" w:hAnsi="宋体" w:eastAsia="仿宋_GB2312" w:cs="Times New Roman"/>
                <w:color w:val="000000"/>
                <w:kern w:val="0"/>
                <w:sz w:val="24"/>
                <w:szCs w:val="24"/>
              </w:rPr>
            </w:pPr>
          </w:p>
        </w:tc>
        <w:tc>
          <w:tcPr>
            <w:tcW w:w="3686"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NB</w:t>
            </w:r>
            <w:r>
              <w:rPr>
                <w:rFonts w:hint="default" w:ascii="仿宋_GB2312" w:hAnsi="宋体" w:eastAsia="仿宋_GB2312" w:cs="Times New Roman"/>
                <w:color w:val="000000"/>
                <w:kern w:val="0"/>
                <w:sz w:val="24"/>
                <w:szCs w:val="24"/>
              </w:rPr>
              <w:t>-IoT/</w:t>
            </w:r>
            <w:r>
              <w:rPr>
                <w:rFonts w:hint="eastAsia" w:ascii="仿宋_GB2312" w:hAnsi="宋体" w:eastAsia="仿宋_GB2312" w:cs="Times New Roman"/>
                <w:color w:val="000000"/>
                <w:kern w:val="0"/>
                <w:sz w:val="24"/>
                <w:szCs w:val="24"/>
              </w:rPr>
              <w:t>4G</w:t>
            </w:r>
            <w:r>
              <w:rPr>
                <w:rFonts w:ascii="仿宋_GB2312" w:hAnsi="宋体" w:eastAsia="仿宋_GB2312" w:cs="Times New Roman"/>
                <w:color w:val="000000"/>
                <w:kern w:val="0"/>
                <w:sz w:val="24"/>
                <w:szCs w:val="24"/>
              </w:rPr>
              <w:t>/</w:t>
            </w:r>
            <w:r>
              <w:rPr>
                <w:rFonts w:hint="eastAsia" w:ascii="仿宋_GB2312" w:hAnsi="宋体" w:eastAsia="仿宋_GB2312" w:cs="Times New Roman"/>
                <w:color w:val="000000"/>
                <w:kern w:val="0"/>
                <w:sz w:val="24"/>
                <w:szCs w:val="24"/>
              </w:rPr>
              <w:t>5G</w:t>
            </w:r>
            <w:r>
              <w:rPr>
                <w:rFonts w:hint="default" w:ascii="仿宋_GB2312" w:hAnsi="宋体" w:eastAsia="仿宋_GB2312" w:cs="Times New Roman"/>
                <w:color w:val="000000"/>
                <w:kern w:val="0"/>
                <w:sz w:val="24"/>
                <w:szCs w:val="24"/>
              </w:rPr>
              <w:t>物联连接数占</w:t>
            </w:r>
            <w:r>
              <w:rPr>
                <w:rFonts w:hint="eastAsia" w:ascii="仿宋_GB2312" w:hAnsi="宋体" w:eastAsia="仿宋_GB2312" w:cs="Times New Roman"/>
                <w:color w:val="000000"/>
                <w:kern w:val="0"/>
                <w:sz w:val="24"/>
                <w:szCs w:val="24"/>
              </w:rPr>
              <w:t>物联网</w:t>
            </w:r>
            <w:r>
              <w:rPr>
                <w:rFonts w:hint="default" w:ascii="仿宋_GB2312" w:hAnsi="宋体" w:eastAsia="仿宋_GB2312" w:cs="Times New Roman"/>
                <w:color w:val="000000"/>
                <w:kern w:val="0"/>
                <w:sz w:val="24"/>
                <w:szCs w:val="24"/>
              </w:rPr>
              <w:t>总</w:t>
            </w:r>
            <w:r>
              <w:rPr>
                <w:rFonts w:hint="eastAsia" w:ascii="仿宋_GB2312" w:hAnsi="宋体" w:eastAsia="仿宋_GB2312" w:cs="Times New Roman"/>
                <w:color w:val="000000"/>
                <w:kern w:val="0"/>
                <w:sz w:val="24"/>
                <w:szCs w:val="24"/>
              </w:rPr>
              <w:t>连接数</w:t>
            </w:r>
            <w:r>
              <w:rPr>
                <w:rFonts w:hint="default" w:ascii="仿宋_GB2312" w:hAnsi="宋体" w:eastAsia="仿宋_GB2312" w:cs="Times New Roman"/>
                <w:color w:val="000000"/>
                <w:kern w:val="0"/>
                <w:sz w:val="24"/>
                <w:szCs w:val="24"/>
              </w:rPr>
              <w:t>比例</w:t>
            </w:r>
          </w:p>
        </w:tc>
        <w:tc>
          <w:tcPr>
            <w:tcW w:w="3912" w:type="dxa"/>
            <w:vAlign w:val="top"/>
          </w:tcPr>
          <w:p>
            <w:pPr>
              <w:spacing w:before="156" w:beforeLines="50" w:after="156" w:afterLines="50"/>
              <w:rPr>
                <w:rFonts w:ascii="仿宋_GB2312" w:hAnsi="宋体" w:eastAsia="仿宋_GB2312" w:cs="Times New Roman"/>
                <w:color w:val="000000"/>
                <w:kern w:val="0"/>
                <w:sz w:val="24"/>
                <w:szCs w:val="24"/>
              </w:rPr>
            </w:pPr>
            <w:r>
              <w:rPr>
                <w:rFonts w:hint="default" w:ascii="仿宋_GB2312" w:hAnsi="宋体" w:eastAsia="仿宋_GB2312" w:cs="Times New Roman"/>
                <w:color w:val="000000"/>
                <w:kern w:val="0"/>
                <w:sz w:val="24"/>
                <w:szCs w:val="24"/>
              </w:rPr>
              <w:t>NB-IoT/</w:t>
            </w:r>
            <w:r>
              <w:rPr>
                <w:rFonts w:hint="eastAsia" w:ascii="仿宋_GB2312" w:hAnsi="宋体" w:eastAsia="仿宋_GB2312" w:cs="Times New Roman"/>
                <w:color w:val="000000"/>
                <w:kern w:val="0"/>
                <w:sz w:val="24"/>
                <w:szCs w:val="24"/>
              </w:rPr>
              <w:t>4G/5G物联网连接数之和，与2G/3G/4G/5G/NB全部物联网连接数之和的比例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704" w:type="dxa"/>
            <w:vAlign w:val="top"/>
          </w:tcPr>
          <w:p>
            <w:pPr>
              <w:spacing w:before="240" w:line="360" w:lineRule="auto"/>
              <w:rPr>
                <w:rFonts w:ascii="仿宋_GB2312" w:hAnsi="宋体" w:eastAsia="仿宋_GB2312" w:cs="Times New Roman"/>
                <w:color w:val="000000"/>
                <w:kern w:val="0"/>
                <w:sz w:val="24"/>
                <w:szCs w:val="24"/>
              </w:rPr>
            </w:pPr>
            <w:r>
              <w:rPr>
                <w:rFonts w:hint="eastAsia" w:ascii="仿宋_GB2312" w:hAnsi="宋体" w:eastAsia="仿宋_GB2312" w:cs="Times New Roman"/>
                <w:b/>
                <w:bCs/>
                <w:color w:val="000000"/>
                <w:kern w:val="0"/>
                <w:sz w:val="24"/>
                <w:szCs w:val="24"/>
              </w:rPr>
              <w:t>6</w:t>
            </w:r>
          </w:p>
        </w:tc>
        <w:tc>
          <w:tcPr>
            <w:tcW w:w="1559" w:type="dxa"/>
            <w:vMerge w:val="continue"/>
            <w:vAlign w:val="top"/>
          </w:tcPr>
          <w:p>
            <w:pPr>
              <w:spacing w:before="156" w:beforeLines="50" w:after="156" w:afterLines="50"/>
              <w:jc w:val="center"/>
              <w:rPr>
                <w:rFonts w:ascii="仿宋_GB2312" w:hAnsi="宋体" w:eastAsia="仿宋_GB2312" w:cs="Times New Roman"/>
                <w:color w:val="000000"/>
                <w:kern w:val="0"/>
                <w:sz w:val="24"/>
                <w:szCs w:val="24"/>
              </w:rPr>
            </w:pPr>
          </w:p>
        </w:tc>
        <w:tc>
          <w:tcPr>
            <w:tcW w:w="3686"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TOP行业移动物联应用规模部署状况</w:t>
            </w:r>
          </w:p>
        </w:tc>
        <w:tc>
          <w:tcPr>
            <w:tcW w:w="3912"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超过100万级市场规模数的应用个数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704" w:type="dxa"/>
            <w:vAlign w:val="top"/>
          </w:tcPr>
          <w:p>
            <w:pPr>
              <w:spacing w:before="240" w:line="360" w:lineRule="auto"/>
              <w:rPr>
                <w:rFonts w:ascii="仿宋_GB2312" w:hAnsi="宋体" w:eastAsia="仿宋_GB2312" w:cs="Times New Roman"/>
                <w:color w:val="000000"/>
                <w:kern w:val="0"/>
                <w:sz w:val="24"/>
                <w:szCs w:val="24"/>
              </w:rPr>
            </w:pPr>
            <w:r>
              <w:rPr>
                <w:rFonts w:ascii="仿宋_GB2312" w:hAnsi="宋体" w:eastAsia="仿宋_GB2312" w:cs="Times New Roman"/>
                <w:b/>
                <w:bCs/>
                <w:color w:val="000000"/>
                <w:kern w:val="0"/>
                <w:sz w:val="24"/>
                <w:szCs w:val="24"/>
              </w:rPr>
              <w:t>8</w:t>
            </w:r>
          </w:p>
        </w:tc>
        <w:tc>
          <w:tcPr>
            <w:tcW w:w="1559" w:type="dxa"/>
            <w:vMerge w:val="restart"/>
            <w:vAlign w:val="top"/>
          </w:tcPr>
          <w:p>
            <w:pPr>
              <w:spacing w:before="156" w:beforeLines="50" w:after="156" w:afterLines="50"/>
              <w:jc w:val="center"/>
              <w:rPr>
                <w:rFonts w:ascii="仿宋_GB2312" w:hAnsi="宋体" w:eastAsia="仿宋_GB2312" w:cs="Times New Roman"/>
                <w:color w:val="000000"/>
                <w:kern w:val="0"/>
                <w:sz w:val="24"/>
                <w:szCs w:val="24"/>
              </w:rPr>
            </w:pPr>
            <w:r>
              <w:rPr>
                <w:rFonts w:hint="eastAsia" w:ascii="仿宋_GB2312" w:hAnsi="宋体" w:eastAsia="仿宋_GB2312" w:cs="Times New Roman"/>
                <w:b/>
                <w:bCs/>
                <w:color w:val="000000"/>
                <w:kern w:val="0"/>
                <w:sz w:val="24"/>
                <w:szCs w:val="24"/>
              </w:rPr>
              <w:t>产业生态</w:t>
            </w:r>
          </w:p>
        </w:tc>
        <w:tc>
          <w:tcPr>
            <w:tcW w:w="3686"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移动物联网相关企业数量</w:t>
            </w:r>
          </w:p>
        </w:tc>
        <w:tc>
          <w:tcPr>
            <w:tcW w:w="3912"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提供移动物联网解决方案的企业、移动物联网产业链上下游的企业以及提供移动物联网应用服务的企业数量总和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704" w:type="dxa"/>
            <w:vAlign w:val="top"/>
          </w:tcPr>
          <w:p>
            <w:pPr>
              <w:spacing w:before="240" w:line="360" w:lineRule="auto"/>
              <w:rPr>
                <w:rFonts w:ascii="仿宋_GB2312" w:hAnsi="宋体" w:eastAsia="仿宋_GB2312" w:cs="Times New Roman"/>
                <w:color w:val="000000"/>
                <w:kern w:val="0"/>
                <w:sz w:val="24"/>
                <w:szCs w:val="24"/>
              </w:rPr>
            </w:pPr>
            <w:r>
              <w:rPr>
                <w:rFonts w:ascii="仿宋_GB2312" w:hAnsi="宋体" w:eastAsia="仿宋_GB2312" w:cs="Times New Roman"/>
                <w:b/>
                <w:bCs/>
                <w:color w:val="000000"/>
                <w:kern w:val="0"/>
                <w:sz w:val="24"/>
                <w:szCs w:val="24"/>
              </w:rPr>
              <w:t>9</w:t>
            </w:r>
          </w:p>
        </w:tc>
        <w:tc>
          <w:tcPr>
            <w:tcW w:w="1559" w:type="dxa"/>
            <w:vMerge w:val="continue"/>
            <w:vAlign w:val="top"/>
          </w:tcPr>
          <w:p>
            <w:pPr>
              <w:spacing w:before="156" w:beforeLines="50" w:after="156" w:afterLines="50"/>
              <w:jc w:val="center"/>
              <w:rPr>
                <w:rFonts w:ascii="仿宋_GB2312" w:hAnsi="宋体" w:eastAsia="仿宋_GB2312" w:cs="Times New Roman"/>
                <w:color w:val="000000"/>
                <w:kern w:val="0"/>
                <w:sz w:val="24"/>
                <w:szCs w:val="24"/>
              </w:rPr>
            </w:pPr>
          </w:p>
        </w:tc>
        <w:tc>
          <w:tcPr>
            <w:tcW w:w="3686"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移动物联网产业产值占比</w:t>
            </w:r>
          </w:p>
        </w:tc>
        <w:tc>
          <w:tcPr>
            <w:tcW w:w="3912"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移动物联网解决方案企业的产值（产业销售收入）占GDP比例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704" w:type="dxa"/>
            <w:vAlign w:val="top"/>
          </w:tcPr>
          <w:p>
            <w:pPr>
              <w:spacing w:before="240" w:line="360" w:lineRule="auto"/>
              <w:rPr>
                <w:rFonts w:ascii="仿宋_GB2312" w:hAnsi="宋体" w:eastAsia="仿宋_GB2312" w:cs="Times New Roman"/>
                <w:color w:val="000000"/>
                <w:kern w:val="0"/>
                <w:sz w:val="24"/>
                <w:szCs w:val="24"/>
              </w:rPr>
            </w:pPr>
            <w:r>
              <w:rPr>
                <w:rFonts w:ascii="仿宋_GB2312" w:hAnsi="宋体" w:eastAsia="仿宋_GB2312" w:cs="Times New Roman"/>
                <w:b/>
                <w:bCs/>
                <w:color w:val="000000"/>
                <w:kern w:val="0"/>
                <w:sz w:val="24"/>
                <w:szCs w:val="24"/>
              </w:rPr>
              <w:t>10</w:t>
            </w:r>
          </w:p>
        </w:tc>
        <w:tc>
          <w:tcPr>
            <w:tcW w:w="1559" w:type="dxa"/>
            <w:vMerge w:val="continue"/>
            <w:vAlign w:val="top"/>
          </w:tcPr>
          <w:p>
            <w:pPr>
              <w:spacing w:before="156" w:beforeLines="50" w:after="156" w:afterLines="50"/>
              <w:jc w:val="center"/>
              <w:rPr>
                <w:rFonts w:ascii="仿宋_GB2312" w:hAnsi="宋体" w:eastAsia="仿宋_GB2312" w:cs="Times New Roman"/>
                <w:color w:val="000000"/>
                <w:kern w:val="0"/>
                <w:sz w:val="24"/>
                <w:szCs w:val="24"/>
              </w:rPr>
            </w:pPr>
          </w:p>
        </w:tc>
        <w:tc>
          <w:tcPr>
            <w:tcW w:w="3686"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公共服务平台数量</w:t>
            </w:r>
          </w:p>
        </w:tc>
        <w:tc>
          <w:tcPr>
            <w:tcW w:w="3912"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提供物联网相关标准提供认证与服务的平台企业机构的数量</w:t>
            </w:r>
            <w:r>
              <w:rPr>
                <w:rFonts w:hint="default" w:ascii="仿宋_GB2312" w:hAnsi="宋体" w:eastAsia="仿宋_GB2312" w:cs="Times New Roman"/>
                <w:color w:val="000000"/>
                <w:kern w:val="0"/>
                <w:sz w:val="24"/>
                <w:szCs w:val="24"/>
              </w:rPr>
              <w:t>，</w:t>
            </w:r>
            <w:r>
              <w:rPr>
                <w:rFonts w:hint="eastAsia" w:ascii="仿宋_GB2312" w:hAnsi="宋体" w:eastAsia="仿宋_GB2312" w:cs="Times New Roman"/>
                <w:color w:val="000000"/>
                <w:kern w:val="0"/>
                <w:sz w:val="24"/>
                <w:szCs w:val="24"/>
              </w:rPr>
              <w:t>含省级创新中心、</w:t>
            </w:r>
            <w:r>
              <w:rPr>
                <w:rFonts w:hint="eastAsia" w:ascii="仿宋_GB2312" w:hAnsi="宋体" w:eastAsia="仿宋_GB2312" w:cs="Times New Roman"/>
                <w:color w:val="000000"/>
                <w:kern w:val="0"/>
                <w:sz w:val="24"/>
                <w:szCs w:val="24"/>
                <w:lang w:eastAsia="zh-CN"/>
              </w:rPr>
              <w:t>开放</w:t>
            </w:r>
            <w:r>
              <w:rPr>
                <w:rFonts w:hint="eastAsia" w:ascii="仿宋_GB2312" w:hAnsi="宋体" w:eastAsia="仿宋_GB2312" w:cs="Times New Roman"/>
                <w:color w:val="000000"/>
                <w:kern w:val="0"/>
                <w:sz w:val="24"/>
                <w:szCs w:val="24"/>
              </w:rPr>
              <w:t>实验室、联盟、协会等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704" w:type="dxa"/>
            <w:vAlign w:val="top"/>
          </w:tcPr>
          <w:p>
            <w:pPr>
              <w:spacing w:before="240" w:line="360" w:lineRule="auto"/>
              <w:rPr>
                <w:rFonts w:ascii="仿宋_GB2312" w:hAnsi="宋体" w:eastAsia="仿宋_GB2312" w:cs="Times New Roman"/>
                <w:color w:val="000000"/>
                <w:kern w:val="0"/>
                <w:sz w:val="24"/>
                <w:szCs w:val="24"/>
              </w:rPr>
            </w:pPr>
            <w:r>
              <w:rPr>
                <w:rFonts w:hint="eastAsia" w:ascii="仿宋_GB2312" w:hAnsi="宋体" w:eastAsia="仿宋_GB2312" w:cs="Times New Roman"/>
                <w:b/>
                <w:bCs/>
                <w:color w:val="000000"/>
                <w:kern w:val="0"/>
                <w:sz w:val="24"/>
                <w:szCs w:val="24"/>
              </w:rPr>
              <w:t>1</w:t>
            </w:r>
            <w:r>
              <w:rPr>
                <w:rFonts w:ascii="仿宋_GB2312" w:hAnsi="宋体" w:eastAsia="仿宋_GB2312" w:cs="Times New Roman"/>
                <w:b/>
                <w:bCs/>
                <w:color w:val="000000"/>
                <w:kern w:val="0"/>
                <w:sz w:val="24"/>
                <w:szCs w:val="24"/>
              </w:rPr>
              <w:t>1</w:t>
            </w:r>
          </w:p>
        </w:tc>
        <w:tc>
          <w:tcPr>
            <w:tcW w:w="1559" w:type="dxa"/>
            <w:vMerge w:val="restart"/>
            <w:vAlign w:val="top"/>
          </w:tcPr>
          <w:p>
            <w:pPr>
              <w:spacing w:before="156" w:beforeLines="50" w:after="156" w:afterLines="50"/>
              <w:jc w:val="center"/>
              <w:rPr>
                <w:rFonts w:ascii="仿宋_GB2312" w:hAnsi="宋体" w:eastAsia="仿宋_GB2312" w:cs="Times New Roman"/>
                <w:color w:val="000000"/>
                <w:kern w:val="0"/>
                <w:sz w:val="24"/>
                <w:szCs w:val="24"/>
              </w:rPr>
            </w:pPr>
            <w:r>
              <w:rPr>
                <w:rFonts w:hint="eastAsia" w:ascii="仿宋_GB2312" w:hAnsi="宋体" w:eastAsia="仿宋_GB2312" w:cs="Times New Roman"/>
                <w:b/>
                <w:bCs/>
                <w:color w:val="000000"/>
                <w:kern w:val="0"/>
                <w:sz w:val="24"/>
                <w:szCs w:val="24"/>
              </w:rPr>
              <w:t>创新和人才</w:t>
            </w:r>
          </w:p>
        </w:tc>
        <w:tc>
          <w:tcPr>
            <w:tcW w:w="3686"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相关专利申请及授权数量</w:t>
            </w:r>
          </w:p>
        </w:tc>
        <w:tc>
          <w:tcPr>
            <w:tcW w:w="3912"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通过我国专利局申请的移动物联网专利数量和授权数量（当前以申请专利数为主，后续以授权专利数为主）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704" w:type="dxa"/>
            <w:vAlign w:val="top"/>
          </w:tcPr>
          <w:p>
            <w:pPr>
              <w:spacing w:line="360" w:lineRule="auto"/>
              <w:rPr>
                <w:rFonts w:ascii="仿宋_GB2312" w:hAnsi="宋体" w:eastAsia="仿宋_GB2312" w:cs="Times New Roman"/>
                <w:color w:val="000000"/>
                <w:kern w:val="0"/>
                <w:sz w:val="24"/>
                <w:szCs w:val="24"/>
              </w:rPr>
            </w:pPr>
            <w:r>
              <w:rPr>
                <w:rFonts w:hint="eastAsia" w:ascii="仿宋_GB2312" w:hAnsi="宋体" w:eastAsia="仿宋_GB2312" w:cs="Times New Roman"/>
                <w:b/>
                <w:bCs/>
                <w:color w:val="000000"/>
                <w:kern w:val="0"/>
                <w:sz w:val="24"/>
                <w:szCs w:val="24"/>
              </w:rPr>
              <w:t>1</w:t>
            </w:r>
            <w:r>
              <w:rPr>
                <w:rFonts w:ascii="仿宋_GB2312" w:hAnsi="宋体" w:eastAsia="仿宋_GB2312" w:cs="Times New Roman"/>
                <w:b/>
                <w:bCs/>
                <w:color w:val="000000"/>
                <w:kern w:val="0"/>
                <w:sz w:val="24"/>
                <w:szCs w:val="24"/>
              </w:rPr>
              <w:t>2</w:t>
            </w:r>
          </w:p>
        </w:tc>
        <w:tc>
          <w:tcPr>
            <w:tcW w:w="1559" w:type="dxa"/>
            <w:vMerge w:val="continue"/>
            <w:vAlign w:val="top"/>
          </w:tcPr>
          <w:p>
            <w:pPr>
              <w:spacing w:before="156" w:beforeLines="50" w:after="156" w:afterLines="50"/>
              <w:jc w:val="center"/>
              <w:rPr>
                <w:rFonts w:ascii="仿宋_GB2312" w:hAnsi="宋体" w:eastAsia="仿宋_GB2312" w:cs="Times New Roman"/>
                <w:color w:val="000000"/>
                <w:kern w:val="0"/>
                <w:sz w:val="24"/>
                <w:szCs w:val="24"/>
              </w:rPr>
            </w:pPr>
          </w:p>
        </w:tc>
        <w:tc>
          <w:tcPr>
            <w:tcW w:w="3686"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行业应用标准制定数量</w:t>
            </w:r>
          </w:p>
        </w:tc>
        <w:tc>
          <w:tcPr>
            <w:tcW w:w="3912"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具体指面向垂直行业应用的行标、团标及地方标准</w:t>
            </w:r>
            <w:r>
              <w:rPr>
                <w:rFonts w:hint="default" w:ascii="仿宋_GB2312" w:hAnsi="宋体" w:eastAsia="仿宋_GB2312" w:cs="Times New Roman"/>
                <w:color w:val="000000"/>
                <w:kern w:val="0"/>
                <w:sz w:val="24"/>
                <w:szCs w:val="24"/>
              </w:rPr>
              <w:t>，</w:t>
            </w:r>
            <w:r>
              <w:rPr>
                <w:rFonts w:hint="eastAsia" w:ascii="仿宋_GB2312" w:hAnsi="宋体" w:eastAsia="仿宋_GB2312" w:cs="Times New Roman"/>
                <w:color w:val="000000"/>
                <w:kern w:val="0"/>
                <w:sz w:val="24"/>
                <w:szCs w:val="24"/>
              </w:rPr>
              <w:t>用于衡量移动物联网垂直行业成熟度。（根据负责单位的归属地计算）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704" w:type="dxa"/>
            <w:vAlign w:val="top"/>
          </w:tcPr>
          <w:p>
            <w:pPr>
              <w:spacing w:line="360" w:lineRule="auto"/>
              <w:rPr>
                <w:rFonts w:ascii="仿宋_GB2312" w:hAnsi="宋体" w:eastAsia="仿宋_GB2312" w:cs="Times New Roman"/>
                <w:color w:val="000000"/>
                <w:kern w:val="0"/>
                <w:sz w:val="24"/>
                <w:szCs w:val="24"/>
              </w:rPr>
            </w:pPr>
            <w:r>
              <w:rPr>
                <w:rFonts w:hint="eastAsia" w:ascii="仿宋_GB2312" w:hAnsi="宋体" w:eastAsia="仿宋_GB2312" w:cs="Times New Roman"/>
                <w:b/>
                <w:bCs/>
                <w:color w:val="000000"/>
                <w:kern w:val="0"/>
                <w:sz w:val="24"/>
                <w:szCs w:val="24"/>
              </w:rPr>
              <w:t>1</w:t>
            </w:r>
            <w:r>
              <w:rPr>
                <w:rFonts w:ascii="仿宋_GB2312" w:hAnsi="宋体" w:eastAsia="仿宋_GB2312" w:cs="Times New Roman"/>
                <w:b/>
                <w:bCs/>
                <w:color w:val="000000"/>
                <w:kern w:val="0"/>
                <w:sz w:val="24"/>
                <w:szCs w:val="24"/>
              </w:rPr>
              <w:t>3</w:t>
            </w:r>
          </w:p>
        </w:tc>
        <w:tc>
          <w:tcPr>
            <w:tcW w:w="1559" w:type="dxa"/>
            <w:vMerge w:val="continue"/>
            <w:vAlign w:val="top"/>
          </w:tcPr>
          <w:p>
            <w:pPr>
              <w:spacing w:before="156" w:beforeLines="50" w:after="156" w:afterLines="50"/>
              <w:jc w:val="center"/>
              <w:rPr>
                <w:rFonts w:ascii="仿宋_GB2312" w:hAnsi="宋体" w:eastAsia="仿宋_GB2312" w:cs="Times New Roman"/>
                <w:color w:val="000000"/>
                <w:kern w:val="0"/>
                <w:sz w:val="24"/>
                <w:szCs w:val="24"/>
              </w:rPr>
            </w:pPr>
          </w:p>
        </w:tc>
        <w:tc>
          <w:tcPr>
            <w:tcW w:w="3686"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移动物联网专业的高校数量</w:t>
            </w:r>
          </w:p>
        </w:tc>
        <w:tc>
          <w:tcPr>
            <w:tcW w:w="3912"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开设物联网相关专业的</w:t>
            </w:r>
            <w:r>
              <w:rPr>
                <w:rFonts w:hint="default" w:ascii="仿宋_GB2312" w:hAnsi="宋体" w:eastAsia="仿宋_GB2312" w:cs="Times New Roman"/>
                <w:color w:val="000000"/>
                <w:kern w:val="0"/>
                <w:sz w:val="24"/>
                <w:szCs w:val="24"/>
              </w:rPr>
              <w:t>高校</w:t>
            </w:r>
            <w:r>
              <w:rPr>
                <w:rFonts w:hint="eastAsia" w:ascii="仿宋_GB2312" w:hAnsi="宋体" w:eastAsia="仿宋_GB2312" w:cs="Times New Roman"/>
                <w:color w:val="000000"/>
                <w:kern w:val="0"/>
                <w:sz w:val="24"/>
                <w:szCs w:val="24"/>
              </w:rPr>
              <w:t>数量，仅包含</w:t>
            </w:r>
            <w:r>
              <w:rPr>
                <w:rFonts w:hint="default" w:ascii="仿宋_GB2312" w:hAnsi="宋体" w:eastAsia="仿宋_GB2312" w:cs="Times New Roman"/>
                <w:color w:val="000000"/>
                <w:kern w:val="0"/>
                <w:sz w:val="24"/>
                <w:szCs w:val="24"/>
              </w:rPr>
              <w:t>通过</w:t>
            </w:r>
            <w:r>
              <w:rPr>
                <w:rFonts w:hint="eastAsia" w:ascii="仿宋_GB2312" w:hAnsi="宋体" w:eastAsia="仿宋_GB2312" w:cs="Times New Roman"/>
                <w:color w:val="000000"/>
                <w:kern w:val="0"/>
                <w:sz w:val="24"/>
                <w:szCs w:val="24"/>
              </w:rPr>
              <w:t>教育部</w:t>
            </w:r>
            <w:r>
              <w:rPr>
                <w:rFonts w:hint="default" w:ascii="仿宋_GB2312" w:hAnsi="宋体" w:eastAsia="仿宋_GB2312" w:cs="Times New Roman"/>
                <w:color w:val="000000"/>
                <w:kern w:val="0"/>
                <w:sz w:val="24"/>
                <w:szCs w:val="24"/>
              </w:rPr>
              <w:t>门</w:t>
            </w:r>
            <w:r>
              <w:rPr>
                <w:rFonts w:hint="eastAsia" w:ascii="仿宋_GB2312" w:hAnsi="宋体" w:eastAsia="仿宋_GB2312" w:cs="Times New Roman"/>
                <w:color w:val="000000"/>
                <w:kern w:val="0"/>
                <w:sz w:val="24"/>
                <w:szCs w:val="24"/>
              </w:rPr>
              <w:t>可查询的普通高校，包含中央部门办、本科院校和高职（专科）院校</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eastAsia="仿宋_GB2312"/>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D4348"/>
    <w:rsid w:val="1B25464E"/>
    <w:rsid w:val="1F704306"/>
    <w:rsid w:val="2ED02927"/>
    <w:rsid w:val="3A4672DB"/>
    <w:rsid w:val="3FCDC7FC"/>
    <w:rsid w:val="480C7D90"/>
    <w:rsid w:val="4DBDCA8D"/>
    <w:rsid w:val="50AF14E6"/>
    <w:rsid w:val="55C66599"/>
    <w:rsid w:val="55E3348B"/>
    <w:rsid w:val="657E0195"/>
    <w:rsid w:val="664B2F5F"/>
    <w:rsid w:val="72D76ECE"/>
    <w:rsid w:val="79BF5E73"/>
    <w:rsid w:val="7DDFC034"/>
    <w:rsid w:val="7EBB84F8"/>
    <w:rsid w:val="7FFDBC4A"/>
    <w:rsid w:val="97ED98EB"/>
    <w:rsid w:val="BEF7E937"/>
    <w:rsid w:val="FB9D6C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22"/>
      <w:lang w:val="en-US" w:eastAsia="zh-CN"/>
    </w:rPr>
  </w:style>
  <w:style w:type="character" w:default="1" w:styleId="3">
    <w:name w:val="Default Paragraph Font"/>
    <w:semiHidden/>
    <w:uiPriority w:val="0"/>
  </w:style>
  <w:style w:type="table" w:default="1" w:styleId="4">
    <w:name w:val="Normal Table"/>
    <w:semiHidden/>
    <w:uiPriority w:val="0"/>
    <w:tblPr>
      <w:tblStyle w:val="4"/>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陆洋</dc:creator>
  <cp:lastModifiedBy>洪昌智</cp:lastModifiedBy>
  <cp:lastPrinted>2020-05-07T08:10:41Z</cp:lastPrinted>
  <dcterms:modified xsi:type="dcterms:W3CDTF">2020-05-08T01:35:29Z</dcterms:modified>
  <dc:title>移动物联网（本通知所称移动物联网，是指基于蜂窝移动通信网络的物联网技术和应用）是新型基础设施的重要组成部分，已成为经济社会数字化转型的重要驱动力量。为深入贯彻落实《国务院关于推进物联网有序健康发展的指导意见》、《工业和信息化部关于印发信息通信行业发展规划（2016－2020年）的通知》有关要求，推进移动物联网全面发展，加速传统产业数字化转型，有力支撑制造强国、网络强国建设，现就有关事项通知如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2052-10.8.2.7059</vt:lpwstr>
  </property>
</Properties>
</file>